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75pt;margin-top:532.65pt;width:385.1pt;height:224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http://www.archives-vienne.cg86.fr/639-les-registres-paroissiaux.htm</w:t>
                      </w:r>
                    </w:hyperlink>
                  </w:p>
                  <w:p>
                    <w:pPr>
                      <w:pStyle w:val="Listepuces2"/>
                      <w:widowControl w:val="0"/>
                    </w:pPr>
                    <w:hyperlink r:id="rId9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http://www.archives-vienne.cg86.fr/643-les-registres-matricules.htm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color w:val="1F497D" w:themeColor="text2"/>
                        <w:sz w:val="24"/>
                      </w:rPr>
                    </w:pPr>
                    <w:r>
                      <w:rPr>
                        <w:i/>
                        <w:color w:val="1F497D" w:themeColor="text2"/>
                        <w:sz w:val="24"/>
                      </w:rPr>
                      <w:t>annuaire de la magistrature, 1914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35pt,522.1pt" to="522.6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Guenigault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Edmond, Honoré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30 octobre 1885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Saint Sauvant (Vienne)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Guenigault Honoré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Propriétaire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Minault Eugénie, Félicité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Saint Sauvant (Lusignan)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1,68 m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Cursus scolaire au lycée Henri IV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De la 5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à la classe de Philosophie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Juge suppléant au tribunal de Bressuire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702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1336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1905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sergent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325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Engagé volontaire août 1914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13 février 1915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Signal de Xon près de Pont-à-Mousson (Meurthe et Moselle)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Suites des blessures de guerre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Circonstances : </w:t>
                  </w:r>
                </w:p>
                <w:p>
                  <w:pPr>
                    <w:jc w:val="both"/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>«S’est distingué par son héroïsme durant une charge à la baïonnette et a été tué en entraînant sa demi-section.»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color w:val="1F497D" w:themeColor="text2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color w:val="1F497D" w:themeColor="text2"/>
                      <w:sz w:val="24"/>
                    </w:rPr>
                    <w:t>Légion d’honneur à titre posthume</w:t>
                  </w: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</w:rPr>
                    <w:t>Recherche réalisée par Elio Bonnifait-Crochet et Macéo trésorier, 3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</w:rPr>
                    <w:t xml:space="preserve"> 1, 2013/2014</w:t>
                  </w:r>
                </w:p>
                <w:p/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vienne.cg86.fr/639-les-registres-paroissiau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chives-vienne.cg86.fr/643-les-registres-matricul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2014-09-13T15:30:00Z</dcterms:created>
  <dcterms:modified xsi:type="dcterms:W3CDTF">2014-11-03T17:52:00Z</dcterms:modified>
</cp:coreProperties>
</file>