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6238" w14:textId="297A95FE" w:rsidR="00F30880" w:rsidRPr="00A60141" w:rsidRDefault="00F30880" w:rsidP="00F30880">
      <w:pPr>
        <w:rPr>
          <w:b/>
          <w:bCs/>
          <w:sz w:val="28"/>
          <w:szCs w:val="28"/>
        </w:rPr>
      </w:pPr>
      <w:r w:rsidRPr="00A60141">
        <w:rPr>
          <w:b/>
          <w:bCs/>
          <w:sz w:val="28"/>
          <w:szCs w:val="28"/>
        </w:rPr>
        <w:t xml:space="preserve">Politiques </w:t>
      </w:r>
      <w:r w:rsidR="008D2D3F">
        <w:rPr>
          <w:b/>
          <w:bCs/>
          <w:sz w:val="28"/>
          <w:szCs w:val="28"/>
        </w:rPr>
        <w:t>structurelles</w:t>
      </w:r>
      <w:r w:rsidRPr="00A60141">
        <w:rPr>
          <w:b/>
          <w:bCs/>
          <w:sz w:val="28"/>
          <w:szCs w:val="28"/>
        </w:rPr>
        <w:t xml:space="preserve"> : </w:t>
      </w:r>
    </w:p>
    <w:p w14:paraId="1985D44A" w14:textId="323ED1EC" w:rsidR="00F30880" w:rsidRPr="00D60ABA" w:rsidRDefault="00F30880" w:rsidP="00F30880">
      <w:pPr>
        <w:rPr>
          <w:sz w:val="28"/>
          <w:szCs w:val="28"/>
        </w:rPr>
      </w:pPr>
    </w:p>
    <w:tbl>
      <w:tblPr>
        <w:tblStyle w:val="Grilledutableau"/>
        <w:tblW w:w="14879" w:type="dxa"/>
        <w:tblLook w:val="04A0" w:firstRow="1" w:lastRow="0" w:firstColumn="1" w:lastColumn="0" w:noHBand="0" w:noVBand="1"/>
      </w:tblPr>
      <w:tblGrid>
        <w:gridCol w:w="1958"/>
        <w:gridCol w:w="2006"/>
        <w:gridCol w:w="3686"/>
        <w:gridCol w:w="2693"/>
        <w:gridCol w:w="4536"/>
      </w:tblGrid>
      <w:tr w:rsidR="006B1B72" w14:paraId="426951A5" w14:textId="77777777" w:rsidTr="00570F46">
        <w:tc>
          <w:tcPr>
            <w:tcW w:w="1958" w:type="dxa"/>
          </w:tcPr>
          <w:p w14:paraId="3E2DCF55" w14:textId="77777777" w:rsidR="00F65581" w:rsidRDefault="00F65581" w:rsidP="00736266">
            <w:pPr>
              <w:rPr>
                <w:sz w:val="28"/>
                <w:szCs w:val="28"/>
              </w:rPr>
            </w:pPr>
            <w:r>
              <w:rPr>
                <w:sz w:val="28"/>
                <w:szCs w:val="28"/>
              </w:rPr>
              <w:t>Type de politique</w:t>
            </w:r>
          </w:p>
        </w:tc>
        <w:tc>
          <w:tcPr>
            <w:tcW w:w="2006" w:type="dxa"/>
          </w:tcPr>
          <w:p w14:paraId="7E77CF69" w14:textId="77777777" w:rsidR="00F65581" w:rsidRDefault="00F65581" w:rsidP="00A60141">
            <w:pPr>
              <w:jc w:val="center"/>
              <w:rPr>
                <w:sz w:val="28"/>
                <w:szCs w:val="28"/>
              </w:rPr>
            </w:pPr>
            <w:r>
              <w:rPr>
                <w:sz w:val="28"/>
                <w:szCs w:val="28"/>
              </w:rPr>
              <w:t>Acteur de cette politique</w:t>
            </w:r>
          </w:p>
        </w:tc>
        <w:tc>
          <w:tcPr>
            <w:tcW w:w="3686" w:type="dxa"/>
          </w:tcPr>
          <w:p w14:paraId="555CDFB0" w14:textId="77777777" w:rsidR="00F65581" w:rsidRDefault="00F65581" w:rsidP="00A60141">
            <w:pPr>
              <w:jc w:val="center"/>
              <w:rPr>
                <w:sz w:val="28"/>
                <w:szCs w:val="28"/>
              </w:rPr>
            </w:pPr>
            <w:proofErr w:type="gramStart"/>
            <w:r>
              <w:rPr>
                <w:sz w:val="28"/>
                <w:szCs w:val="28"/>
              </w:rPr>
              <w:t>outils</w:t>
            </w:r>
            <w:proofErr w:type="gramEnd"/>
          </w:p>
        </w:tc>
        <w:tc>
          <w:tcPr>
            <w:tcW w:w="2693" w:type="dxa"/>
          </w:tcPr>
          <w:p w14:paraId="41717B59" w14:textId="77777777" w:rsidR="00F65581" w:rsidRDefault="00F65581" w:rsidP="00A60141">
            <w:pPr>
              <w:jc w:val="center"/>
              <w:rPr>
                <w:sz w:val="28"/>
                <w:szCs w:val="28"/>
              </w:rPr>
            </w:pPr>
            <w:r>
              <w:rPr>
                <w:sz w:val="28"/>
                <w:szCs w:val="28"/>
              </w:rPr>
              <w:t>Menée dans le cadre européen</w:t>
            </w:r>
          </w:p>
        </w:tc>
        <w:tc>
          <w:tcPr>
            <w:tcW w:w="4536" w:type="dxa"/>
          </w:tcPr>
          <w:p w14:paraId="3995C9BE" w14:textId="77777777" w:rsidR="00F65581" w:rsidRDefault="00F65581" w:rsidP="00A60141">
            <w:pPr>
              <w:jc w:val="center"/>
              <w:rPr>
                <w:sz w:val="28"/>
                <w:szCs w:val="28"/>
              </w:rPr>
            </w:pPr>
            <w:r>
              <w:rPr>
                <w:sz w:val="28"/>
                <w:szCs w:val="28"/>
              </w:rPr>
              <w:t>Exemples typiques</w:t>
            </w:r>
          </w:p>
        </w:tc>
      </w:tr>
      <w:tr w:rsidR="006B1B72" w:rsidRPr="00F30880" w14:paraId="5E92DFD4" w14:textId="77777777" w:rsidTr="00570F46">
        <w:tc>
          <w:tcPr>
            <w:tcW w:w="1958" w:type="dxa"/>
          </w:tcPr>
          <w:p w14:paraId="5D6DF5B1" w14:textId="5164C2BF" w:rsidR="00F65581" w:rsidRPr="00F30880" w:rsidRDefault="008D2D3F" w:rsidP="00736266">
            <w:pPr>
              <w:rPr>
                <w:sz w:val="28"/>
                <w:szCs w:val="28"/>
              </w:rPr>
            </w:pPr>
            <w:r>
              <w:rPr>
                <w:sz w:val="28"/>
                <w:szCs w:val="28"/>
              </w:rPr>
              <w:t>Règlementaire</w:t>
            </w:r>
          </w:p>
        </w:tc>
        <w:tc>
          <w:tcPr>
            <w:tcW w:w="2006" w:type="dxa"/>
          </w:tcPr>
          <w:p w14:paraId="5E775D77" w14:textId="08395089" w:rsidR="00F65581" w:rsidRPr="00F30880" w:rsidRDefault="00F65581" w:rsidP="00736266">
            <w:pPr>
              <w:rPr>
                <w:sz w:val="20"/>
              </w:rPr>
            </w:pPr>
            <w:r w:rsidRPr="00F30880">
              <w:rPr>
                <w:sz w:val="20"/>
              </w:rPr>
              <w:t>L’</w:t>
            </w:r>
            <w:r w:rsidRPr="00F30880">
              <w:rPr>
                <w:b/>
                <w:bCs/>
                <w:sz w:val="20"/>
              </w:rPr>
              <w:t>Etat</w:t>
            </w:r>
            <w:r w:rsidRPr="00F30880">
              <w:rPr>
                <w:sz w:val="20"/>
              </w:rPr>
              <w:t xml:space="preserve"> à travers </w:t>
            </w:r>
            <w:r w:rsidR="008D2D3F">
              <w:rPr>
                <w:sz w:val="20"/>
              </w:rPr>
              <w:t>diverses réglementations</w:t>
            </w:r>
            <w:r w:rsidR="00BF7ABB">
              <w:rPr>
                <w:sz w:val="20"/>
              </w:rPr>
              <w:t xml:space="preserve"> au niveau national</w:t>
            </w:r>
            <w:r w:rsidR="00BC09EC">
              <w:rPr>
                <w:sz w:val="20"/>
              </w:rPr>
              <w:t xml:space="preserve"> </w:t>
            </w:r>
            <w:r w:rsidR="00BC09EC" w:rsidRPr="00BC09EC">
              <w:rPr>
                <w:sz w:val="20"/>
              </w:rPr>
              <w:t xml:space="preserve">et par </w:t>
            </w:r>
            <w:r w:rsidR="006B1B72" w:rsidRPr="00BC09EC">
              <w:rPr>
                <w:sz w:val="20"/>
              </w:rPr>
              <w:t>des institutions capables</w:t>
            </w:r>
            <w:r w:rsidR="00BC09EC" w:rsidRPr="00BC09EC">
              <w:rPr>
                <w:sz w:val="20"/>
              </w:rPr>
              <w:t xml:space="preserve"> de faire respecter le droit</w:t>
            </w:r>
            <w:r w:rsidR="00BC09EC">
              <w:rPr>
                <w:sz w:val="20"/>
              </w:rPr>
              <w:t xml:space="preserve"> (justice, police…)</w:t>
            </w:r>
          </w:p>
        </w:tc>
        <w:tc>
          <w:tcPr>
            <w:tcW w:w="3686" w:type="dxa"/>
          </w:tcPr>
          <w:p w14:paraId="4C1C84EB" w14:textId="7C90717D" w:rsidR="00F65581" w:rsidRPr="00F30880" w:rsidRDefault="00BF7ABB" w:rsidP="00BF7ABB">
            <w:pPr>
              <w:rPr>
                <w:sz w:val="20"/>
              </w:rPr>
            </w:pPr>
            <w:r>
              <w:rPr>
                <w:sz w:val="20"/>
              </w:rPr>
              <w:t xml:space="preserve">Des </w:t>
            </w:r>
            <w:r w:rsidRPr="008445C4">
              <w:rPr>
                <w:b/>
                <w:bCs/>
                <w:sz w:val="20"/>
              </w:rPr>
              <w:t>outils juridiques</w:t>
            </w:r>
            <w:r>
              <w:rPr>
                <w:sz w:val="20"/>
              </w:rPr>
              <w:t> : textes de lois proposés par le gouvernement et voté par le législatif</w:t>
            </w:r>
          </w:p>
        </w:tc>
        <w:tc>
          <w:tcPr>
            <w:tcW w:w="2693" w:type="dxa"/>
          </w:tcPr>
          <w:p w14:paraId="418A4736" w14:textId="6E305130" w:rsidR="00BF7ABB" w:rsidRPr="00F30880" w:rsidRDefault="00F65581" w:rsidP="00BF7ABB">
            <w:pPr>
              <w:rPr>
                <w:sz w:val="20"/>
              </w:rPr>
            </w:pPr>
            <w:r>
              <w:rPr>
                <w:sz w:val="20"/>
              </w:rPr>
              <w:t xml:space="preserve">Par </w:t>
            </w:r>
            <w:r w:rsidRPr="003C69F9">
              <w:rPr>
                <w:b/>
                <w:bCs/>
                <w:sz w:val="20"/>
              </w:rPr>
              <w:t>chaque état nation</w:t>
            </w:r>
            <w:r>
              <w:rPr>
                <w:sz w:val="20"/>
              </w:rPr>
              <w:t xml:space="preserve"> de manière séparée mais contrôlée par la </w:t>
            </w:r>
            <w:r w:rsidR="00800861">
              <w:rPr>
                <w:sz w:val="20"/>
              </w:rPr>
              <w:t>C</w:t>
            </w:r>
            <w:r>
              <w:rPr>
                <w:sz w:val="20"/>
              </w:rPr>
              <w:t xml:space="preserve">ommission </w:t>
            </w:r>
            <w:r w:rsidR="00800861" w:rsidRPr="000B6D31">
              <w:rPr>
                <w:b/>
                <w:bCs/>
                <w:sz w:val="20"/>
              </w:rPr>
              <w:t>E</w:t>
            </w:r>
            <w:r w:rsidRPr="000B6D31">
              <w:rPr>
                <w:b/>
                <w:bCs/>
                <w:sz w:val="20"/>
              </w:rPr>
              <w:t xml:space="preserve">uropéenne selon les </w:t>
            </w:r>
            <w:r w:rsidR="00BF7ABB" w:rsidRPr="000B6D31">
              <w:rPr>
                <w:b/>
                <w:bCs/>
                <w:sz w:val="20"/>
              </w:rPr>
              <w:t>textes votés au niveau européens</w:t>
            </w:r>
            <w:r w:rsidR="00BF7ABB">
              <w:rPr>
                <w:sz w:val="20"/>
              </w:rPr>
              <w:t xml:space="preserve"> (et qui s’imposent aux signataires)</w:t>
            </w:r>
          </w:p>
          <w:p w14:paraId="68B52820" w14:textId="3F1A0EE1" w:rsidR="00F65581" w:rsidRPr="00F30880" w:rsidRDefault="00F65581" w:rsidP="00736266">
            <w:pPr>
              <w:rPr>
                <w:sz w:val="20"/>
              </w:rPr>
            </w:pPr>
          </w:p>
        </w:tc>
        <w:tc>
          <w:tcPr>
            <w:tcW w:w="4536" w:type="dxa"/>
          </w:tcPr>
          <w:p w14:paraId="75F55430" w14:textId="77777777" w:rsidR="000B6D31" w:rsidRDefault="00BF7ABB" w:rsidP="00BF7ABB">
            <w:pPr>
              <w:rPr>
                <w:sz w:val="20"/>
              </w:rPr>
            </w:pPr>
            <w:r>
              <w:rPr>
                <w:sz w:val="20"/>
              </w:rPr>
              <w:t>Règlementation</w:t>
            </w:r>
            <w:r w:rsidR="000B6D31">
              <w:rPr>
                <w:sz w:val="20"/>
              </w:rPr>
              <w:t>s</w:t>
            </w:r>
            <w:r>
              <w:rPr>
                <w:sz w:val="20"/>
              </w:rPr>
              <w:t xml:space="preserve"> sur le fonctionnement des banques dans l’espace Euro</w:t>
            </w:r>
            <w:r w:rsidR="000B6D31">
              <w:rPr>
                <w:sz w:val="20"/>
              </w:rPr>
              <w:t xml:space="preserve"> (mesures prudentielles)</w:t>
            </w:r>
          </w:p>
          <w:p w14:paraId="286F10A4" w14:textId="26184DE5" w:rsidR="00BF7ABB" w:rsidRDefault="000B6D31" w:rsidP="00BF7ABB">
            <w:pPr>
              <w:rPr>
                <w:sz w:val="20"/>
              </w:rPr>
            </w:pPr>
            <w:r>
              <w:rPr>
                <w:sz w:val="20"/>
              </w:rPr>
              <w:t>Normes sur des produits pour être vendus dans l’espace de l’UE</w:t>
            </w:r>
            <w:r w:rsidR="00BF7ABB">
              <w:rPr>
                <w:sz w:val="20"/>
              </w:rPr>
              <w:t xml:space="preserve"> </w:t>
            </w:r>
            <w:proofErr w:type="gramStart"/>
            <w:r>
              <w:rPr>
                <w:sz w:val="20"/>
              </w:rPr>
              <w:t>( label</w:t>
            </w:r>
            <w:proofErr w:type="gramEnd"/>
            <w:r>
              <w:rPr>
                <w:sz w:val="20"/>
              </w:rPr>
              <w:t xml:space="preserve"> CE)</w:t>
            </w:r>
          </w:p>
          <w:p w14:paraId="0D7101B7" w14:textId="2E5F73FB" w:rsidR="00570F46" w:rsidRDefault="00570F46" w:rsidP="00BF7ABB">
            <w:pPr>
              <w:rPr>
                <w:sz w:val="20"/>
              </w:rPr>
            </w:pPr>
            <w:r>
              <w:rPr>
                <w:sz w:val="20"/>
              </w:rPr>
              <w:t>Allègement des règlementations dans certains domaines pour favoriser la concurrence et l’activité.</w:t>
            </w:r>
          </w:p>
          <w:p w14:paraId="1ECBA211" w14:textId="2E9580D0" w:rsidR="00570F46" w:rsidRPr="00F30880" w:rsidRDefault="00570F46" w:rsidP="00BF7ABB">
            <w:pPr>
              <w:rPr>
                <w:sz w:val="20"/>
              </w:rPr>
            </w:pPr>
            <w:r>
              <w:rPr>
                <w:sz w:val="20"/>
              </w:rPr>
              <w:t>Pousser à la flexibilisation du marché du travail</w:t>
            </w:r>
          </w:p>
          <w:p w14:paraId="08D1400D" w14:textId="4C5EB608" w:rsidR="00317AB6" w:rsidRPr="00F30880" w:rsidRDefault="00317AB6" w:rsidP="00736266">
            <w:pPr>
              <w:rPr>
                <w:sz w:val="20"/>
              </w:rPr>
            </w:pPr>
          </w:p>
        </w:tc>
      </w:tr>
      <w:tr w:rsidR="006B1B72" w:rsidRPr="00F30880" w14:paraId="25DF35E9" w14:textId="77777777" w:rsidTr="00570F46">
        <w:tc>
          <w:tcPr>
            <w:tcW w:w="1958" w:type="dxa"/>
          </w:tcPr>
          <w:p w14:paraId="43A1AF31" w14:textId="2EDD7267" w:rsidR="00F65581" w:rsidRPr="00F30880" w:rsidRDefault="008D2D3F" w:rsidP="00736266">
            <w:pPr>
              <w:rPr>
                <w:sz w:val="28"/>
                <w:szCs w:val="28"/>
              </w:rPr>
            </w:pPr>
            <w:r>
              <w:rPr>
                <w:sz w:val="28"/>
                <w:szCs w:val="28"/>
              </w:rPr>
              <w:t>De concurrence</w:t>
            </w:r>
          </w:p>
        </w:tc>
        <w:tc>
          <w:tcPr>
            <w:tcW w:w="2006" w:type="dxa"/>
          </w:tcPr>
          <w:p w14:paraId="2CCAC936" w14:textId="1D211FAB" w:rsidR="00F65581" w:rsidRPr="00F30880" w:rsidRDefault="00BC09EC" w:rsidP="00736266">
            <w:pPr>
              <w:rPr>
                <w:sz w:val="20"/>
              </w:rPr>
            </w:pPr>
            <w:r w:rsidRPr="00BC09EC">
              <w:rPr>
                <w:sz w:val="20"/>
              </w:rPr>
              <w:t>L</w:t>
            </w:r>
            <w:r w:rsidRPr="006B1B72">
              <w:rPr>
                <w:b/>
                <w:bCs/>
                <w:sz w:val="20"/>
              </w:rPr>
              <w:t xml:space="preserve">’Etat </w:t>
            </w:r>
            <w:r w:rsidRPr="00BC09EC">
              <w:rPr>
                <w:sz w:val="20"/>
              </w:rPr>
              <w:t>à travers diverses réglementations au niveau national</w:t>
            </w:r>
            <w:r>
              <w:rPr>
                <w:sz w:val="20"/>
              </w:rPr>
              <w:t xml:space="preserve"> et par </w:t>
            </w:r>
            <w:r w:rsidR="006B1B72">
              <w:rPr>
                <w:sz w:val="20"/>
              </w:rPr>
              <w:t>des institutions capables</w:t>
            </w:r>
            <w:r>
              <w:rPr>
                <w:sz w:val="20"/>
              </w:rPr>
              <w:t xml:space="preserve"> de faire respecter le droit (justice, police …)</w:t>
            </w:r>
          </w:p>
        </w:tc>
        <w:tc>
          <w:tcPr>
            <w:tcW w:w="3686" w:type="dxa"/>
          </w:tcPr>
          <w:p w14:paraId="409980A1" w14:textId="77777777" w:rsidR="00B2195E" w:rsidRDefault="00B2195E" w:rsidP="00736266">
            <w:pPr>
              <w:rPr>
                <w:sz w:val="20"/>
              </w:rPr>
            </w:pPr>
            <w:r w:rsidRPr="008445C4">
              <w:rPr>
                <w:b/>
                <w:bCs/>
                <w:sz w:val="20"/>
              </w:rPr>
              <w:t>Poursuites et condamnation à des amendes</w:t>
            </w:r>
            <w:r>
              <w:rPr>
                <w:sz w:val="20"/>
              </w:rPr>
              <w:t xml:space="preserve"> pour les infractions.</w:t>
            </w:r>
          </w:p>
          <w:p w14:paraId="08729B4E" w14:textId="77777777" w:rsidR="00B2195E" w:rsidRDefault="00B2195E" w:rsidP="00736266">
            <w:pPr>
              <w:rPr>
                <w:sz w:val="20"/>
              </w:rPr>
            </w:pPr>
          </w:p>
          <w:p w14:paraId="7DE89C7F" w14:textId="77777777" w:rsidR="00B2195E" w:rsidRDefault="00B2195E" w:rsidP="00736266">
            <w:pPr>
              <w:rPr>
                <w:sz w:val="20"/>
              </w:rPr>
            </w:pPr>
            <w:r w:rsidRPr="008445C4">
              <w:rPr>
                <w:b/>
                <w:bCs/>
                <w:sz w:val="20"/>
              </w:rPr>
              <w:t>Autorisations à obtenir</w:t>
            </w:r>
            <w:r>
              <w:rPr>
                <w:sz w:val="20"/>
              </w:rPr>
              <w:t xml:space="preserve"> pour l</w:t>
            </w:r>
            <w:r w:rsidR="00D754E6">
              <w:rPr>
                <w:sz w:val="20"/>
              </w:rPr>
              <w:t>a concentration d’entreprises (</w:t>
            </w:r>
            <w:r>
              <w:rPr>
                <w:sz w:val="20"/>
              </w:rPr>
              <w:t>fusions /acquisition</w:t>
            </w:r>
            <w:r w:rsidR="00D754E6">
              <w:rPr>
                <w:sz w:val="20"/>
              </w:rPr>
              <w:t>). Règles anti trust</w:t>
            </w:r>
          </w:p>
          <w:p w14:paraId="314564BB" w14:textId="77777777" w:rsidR="00D754E6" w:rsidRDefault="00D754E6" w:rsidP="00736266">
            <w:pPr>
              <w:rPr>
                <w:sz w:val="20"/>
              </w:rPr>
            </w:pPr>
          </w:p>
          <w:p w14:paraId="29D97555" w14:textId="1AC89BFF" w:rsidR="00D754E6" w:rsidRDefault="00D754E6" w:rsidP="00736266">
            <w:pPr>
              <w:rPr>
                <w:sz w:val="20"/>
              </w:rPr>
            </w:pPr>
            <w:r w:rsidRPr="008445C4">
              <w:rPr>
                <w:b/>
                <w:bCs/>
                <w:sz w:val="20"/>
              </w:rPr>
              <w:t xml:space="preserve">Contrôle des </w:t>
            </w:r>
            <w:r w:rsidR="00BB2748" w:rsidRPr="008445C4">
              <w:rPr>
                <w:b/>
                <w:bCs/>
                <w:sz w:val="20"/>
              </w:rPr>
              <w:t>entreprises publiques</w:t>
            </w:r>
            <w:r w:rsidR="00BB2748">
              <w:rPr>
                <w:sz w:val="20"/>
              </w:rPr>
              <w:t xml:space="preserve"> et des services publics pour éviter les distorsions de la concurrence</w:t>
            </w:r>
          </w:p>
          <w:p w14:paraId="1D1533F2" w14:textId="51768821" w:rsidR="006B1B72" w:rsidRDefault="006B1B72" w:rsidP="00736266">
            <w:pPr>
              <w:rPr>
                <w:sz w:val="20"/>
              </w:rPr>
            </w:pPr>
          </w:p>
          <w:p w14:paraId="4B514330" w14:textId="55A212CA" w:rsidR="006B1B72" w:rsidRDefault="006B1B72" w:rsidP="00736266">
            <w:pPr>
              <w:rPr>
                <w:sz w:val="20"/>
              </w:rPr>
            </w:pPr>
            <w:r w:rsidRPr="004D6065">
              <w:rPr>
                <w:b/>
                <w:bCs/>
                <w:sz w:val="20"/>
              </w:rPr>
              <w:t>Interdiction d’accès</w:t>
            </w:r>
            <w:r>
              <w:rPr>
                <w:sz w:val="20"/>
              </w:rPr>
              <w:t xml:space="preserve"> au marché</w:t>
            </w:r>
          </w:p>
          <w:p w14:paraId="7A95F15C" w14:textId="05946AFF" w:rsidR="00BB2748" w:rsidRPr="00B2195E" w:rsidRDefault="00BB2748" w:rsidP="00736266">
            <w:pPr>
              <w:rPr>
                <w:sz w:val="20"/>
              </w:rPr>
            </w:pPr>
          </w:p>
        </w:tc>
        <w:tc>
          <w:tcPr>
            <w:tcW w:w="2693" w:type="dxa"/>
          </w:tcPr>
          <w:p w14:paraId="2C1E4F53" w14:textId="313F3ADC" w:rsidR="00B52726" w:rsidRPr="00F30880" w:rsidRDefault="00D754E6" w:rsidP="00736266">
            <w:pPr>
              <w:rPr>
                <w:sz w:val="20"/>
              </w:rPr>
            </w:pPr>
            <w:r>
              <w:rPr>
                <w:sz w:val="20"/>
              </w:rPr>
              <w:t>Par la commission pour garantir un bon fonctionnement du marché intérieur</w:t>
            </w:r>
            <w:r w:rsidR="00BC09EC">
              <w:rPr>
                <w:sz w:val="20"/>
              </w:rPr>
              <w:t xml:space="preserve">, particulièrement par </w:t>
            </w:r>
            <w:r w:rsidR="00BC09EC">
              <w:rPr>
                <w:sz w:val="20"/>
              </w:rPr>
              <w:t xml:space="preserve">La </w:t>
            </w:r>
            <w:r w:rsidR="00BC09EC" w:rsidRPr="00B2195E">
              <w:rPr>
                <w:b/>
                <w:bCs/>
                <w:sz w:val="20"/>
              </w:rPr>
              <w:t>Commission à la Concurrence</w:t>
            </w:r>
            <w:r w:rsidR="00BC09EC">
              <w:rPr>
                <w:sz w:val="20"/>
              </w:rPr>
              <w:t xml:space="preserve"> qui est une partie de la Commission Européenne, en dialogue avec les entreprises qui vendent ou produisent sur le marché européen, que ces entreprises soient européennes ou non et les Etats membres de l’UE.</w:t>
            </w:r>
          </w:p>
        </w:tc>
        <w:tc>
          <w:tcPr>
            <w:tcW w:w="4536" w:type="dxa"/>
          </w:tcPr>
          <w:p w14:paraId="59A18964" w14:textId="0CE9F2CE" w:rsidR="00317AB6" w:rsidRPr="00EF3476" w:rsidRDefault="001C735B" w:rsidP="00317AB6">
            <w:pPr>
              <w:rPr>
                <w:rStyle w:val="lev"/>
                <w:b w:val="0"/>
                <w:bCs w:val="0"/>
                <w:color w:val="000000" w:themeColor="text1"/>
                <w:sz w:val="20"/>
                <w:shd w:val="clear" w:color="auto" w:fill="FFFFFF"/>
              </w:rPr>
            </w:pPr>
            <w:r w:rsidRPr="00EF3476">
              <w:rPr>
                <w:sz w:val="20"/>
              </w:rPr>
              <w:t xml:space="preserve">Condamnation de Microsoft en 2004 pour </w:t>
            </w:r>
            <w:r w:rsidRPr="00EF3476">
              <w:rPr>
                <w:b/>
                <w:bCs/>
                <w:sz w:val="20"/>
              </w:rPr>
              <w:t xml:space="preserve">abus de position </w:t>
            </w:r>
            <w:r w:rsidRPr="00EF3476">
              <w:rPr>
                <w:b/>
                <w:bCs/>
                <w:color w:val="000000" w:themeColor="text1"/>
                <w:sz w:val="20"/>
              </w:rPr>
              <w:t>dominante (</w:t>
            </w:r>
            <w:r w:rsidRPr="00EF3476">
              <w:rPr>
                <w:rStyle w:val="lev"/>
                <w:b w:val="0"/>
                <w:bCs w:val="0"/>
                <w:color w:val="000000" w:themeColor="text1"/>
                <w:sz w:val="20"/>
                <w:shd w:val="clear" w:color="auto" w:fill="FFFFFF"/>
              </w:rPr>
              <w:t>899 millions d’euros</w:t>
            </w:r>
            <w:r w:rsidRPr="00EF3476">
              <w:rPr>
                <w:rStyle w:val="lev"/>
                <w:b w:val="0"/>
                <w:bCs w:val="0"/>
                <w:color w:val="000000" w:themeColor="text1"/>
                <w:sz w:val="20"/>
                <w:shd w:val="clear" w:color="auto" w:fill="FFFFFF"/>
              </w:rPr>
              <w:t xml:space="preserve"> en 2008, amende augmentée </w:t>
            </w:r>
            <w:r w:rsidR="00EF3476" w:rsidRPr="00EF3476">
              <w:rPr>
                <w:rStyle w:val="lev"/>
                <w:b w:val="0"/>
                <w:bCs w:val="0"/>
                <w:color w:val="000000" w:themeColor="text1"/>
                <w:sz w:val="20"/>
                <w:shd w:val="clear" w:color="auto" w:fill="FFFFFF"/>
              </w:rPr>
              <w:t>pour non</w:t>
            </w:r>
            <w:r w:rsidRPr="00EF3476">
              <w:rPr>
                <w:rStyle w:val="lev"/>
                <w:b w:val="0"/>
                <w:bCs w:val="0"/>
                <w:color w:val="000000" w:themeColor="text1"/>
                <w:sz w:val="20"/>
                <w:shd w:val="clear" w:color="auto" w:fill="FFFFFF"/>
              </w:rPr>
              <w:t>-respect par l’entreprise du jugement de départ)</w:t>
            </w:r>
          </w:p>
          <w:p w14:paraId="727429AF" w14:textId="77777777" w:rsidR="00EF3476" w:rsidRPr="00EF3476" w:rsidRDefault="00EF3476" w:rsidP="00317AB6">
            <w:pPr>
              <w:rPr>
                <w:rStyle w:val="lev"/>
                <w:color w:val="000000" w:themeColor="text1"/>
                <w:sz w:val="20"/>
                <w:shd w:val="clear" w:color="auto" w:fill="FFFFFF"/>
              </w:rPr>
            </w:pPr>
          </w:p>
          <w:p w14:paraId="21D5E5D7" w14:textId="2C031A65" w:rsidR="00EF3476" w:rsidRPr="00EF3476" w:rsidRDefault="00EF3476" w:rsidP="00317AB6">
            <w:pPr>
              <w:rPr>
                <w:b/>
                <w:bCs/>
                <w:sz w:val="20"/>
              </w:rPr>
            </w:pPr>
            <w:r w:rsidRPr="00EF3476">
              <w:rPr>
                <w:rStyle w:val="lev"/>
                <w:b w:val="0"/>
                <w:bCs w:val="0"/>
                <w:color w:val="000000" w:themeColor="text1"/>
                <w:sz w:val="20"/>
                <w:shd w:val="clear" w:color="auto" w:fill="FFFFFF"/>
              </w:rPr>
              <w:t>Interdiction de la fusion entre Alstom et Siemens en 2019</w:t>
            </w:r>
          </w:p>
        </w:tc>
      </w:tr>
      <w:tr w:rsidR="006B1B72" w:rsidRPr="00F30880" w14:paraId="17E2A802" w14:textId="77777777" w:rsidTr="00570F46">
        <w:tc>
          <w:tcPr>
            <w:tcW w:w="1958" w:type="dxa"/>
          </w:tcPr>
          <w:p w14:paraId="7F23E616" w14:textId="77B40D07" w:rsidR="00F65581" w:rsidRPr="00F30880" w:rsidRDefault="008D2D3F" w:rsidP="00736266">
            <w:pPr>
              <w:rPr>
                <w:sz w:val="28"/>
                <w:szCs w:val="28"/>
              </w:rPr>
            </w:pPr>
            <w:r>
              <w:rPr>
                <w:sz w:val="28"/>
                <w:szCs w:val="28"/>
              </w:rPr>
              <w:t>Industrielle</w:t>
            </w:r>
          </w:p>
        </w:tc>
        <w:tc>
          <w:tcPr>
            <w:tcW w:w="2006" w:type="dxa"/>
          </w:tcPr>
          <w:p w14:paraId="1F3ECDE9" w14:textId="7D1EB7DE" w:rsidR="00F65581" w:rsidRPr="00F30880" w:rsidRDefault="00C95EA0" w:rsidP="00736266">
            <w:pPr>
              <w:rPr>
                <w:sz w:val="20"/>
              </w:rPr>
            </w:pPr>
            <w:r>
              <w:rPr>
                <w:sz w:val="20"/>
              </w:rPr>
              <w:t>L</w:t>
            </w:r>
            <w:r w:rsidR="008D26BD">
              <w:rPr>
                <w:sz w:val="20"/>
              </w:rPr>
              <w:t>’</w:t>
            </w:r>
            <w:r w:rsidR="008D26BD" w:rsidRPr="004D6065">
              <w:rPr>
                <w:b/>
                <w:bCs/>
                <w:sz w:val="20"/>
              </w:rPr>
              <w:t>Etat</w:t>
            </w:r>
            <w:r w:rsidR="008D26BD">
              <w:rPr>
                <w:sz w:val="20"/>
              </w:rPr>
              <w:t xml:space="preserve"> à travers des dépenses publiques, des allègements </w:t>
            </w:r>
            <w:proofErr w:type="gramStart"/>
            <w:r w:rsidR="008D26BD">
              <w:rPr>
                <w:sz w:val="20"/>
              </w:rPr>
              <w:t>fiscaux ,</w:t>
            </w:r>
            <w:proofErr w:type="gramEnd"/>
            <w:r w:rsidR="008D26BD">
              <w:rPr>
                <w:sz w:val="20"/>
              </w:rPr>
              <w:t xml:space="preserve"> des avantages règlementaires …</w:t>
            </w:r>
          </w:p>
        </w:tc>
        <w:tc>
          <w:tcPr>
            <w:tcW w:w="3686" w:type="dxa"/>
          </w:tcPr>
          <w:p w14:paraId="476E171F" w14:textId="45B7BC54" w:rsidR="00F65581" w:rsidRPr="00F30880" w:rsidRDefault="00BC09EC" w:rsidP="00736266">
            <w:pPr>
              <w:rPr>
                <w:sz w:val="20"/>
              </w:rPr>
            </w:pPr>
            <w:r w:rsidRPr="004D6065">
              <w:rPr>
                <w:b/>
                <w:bCs/>
                <w:sz w:val="20"/>
              </w:rPr>
              <w:t>Soutien au développement d’activités</w:t>
            </w:r>
            <w:r>
              <w:rPr>
                <w:sz w:val="20"/>
              </w:rPr>
              <w:t xml:space="preserve"> par des aides directes (fonds structurels)</w:t>
            </w:r>
            <w:r w:rsidR="006B1B72">
              <w:rPr>
                <w:sz w:val="20"/>
              </w:rPr>
              <w:t>, ou indirectes tout en préservant la compétitivité et la concurrence</w:t>
            </w:r>
          </w:p>
        </w:tc>
        <w:tc>
          <w:tcPr>
            <w:tcW w:w="2693" w:type="dxa"/>
          </w:tcPr>
          <w:p w14:paraId="0D779738" w14:textId="5E697ABC" w:rsidR="00F65581" w:rsidRPr="00F30880" w:rsidRDefault="00800861" w:rsidP="00736266">
            <w:pPr>
              <w:rPr>
                <w:sz w:val="20"/>
              </w:rPr>
            </w:pPr>
            <w:r>
              <w:rPr>
                <w:sz w:val="20"/>
              </w:rPr>
              <w:t xml:space="preserve">Par </w:t>
            </w:r>
            <w:r w:rsidR="006B1B72">
              <w:rPr>
                <w:sz w:val="20"/>
              </w:rPr>
              <w:t>l</w:t>
            </w:r>
            <w:r w:rsidR="006B1B72">
              <w:rPr>
                <w:sz w:val="20"/>
              </w:rPr>
              <w:t xml:space="preserve">a </w:t>
            </w:r>
            <w:r w:rsidR="006B1B72" w:rsidRPr="004D6065">
              <w:rPr>
                <w:b/>
                <w:bCs/>
                <w:sz w:val="20"/>
              </w:rPr>
              <w:t>commission européenne</w:t>
            </w:r>
            <w:r w:rsidR="006B1B72">
              <w:rPr>
                <w:sz w:val="20"/>
              </w:rPr>
              <w:t xml:space="preserve"> en lien avec </w:t>
            </w:r>
            <w:r w:rsidR="006B1B72" w:rsidRPr="004D6065">
              <w:rPr>
                <w:b/>
                <w:bCs/>
                <w:sz w:val="20"/>
              </w:rPr>
              <w:t>les états nation</w:t>
            </w:r>
            <w:r w:rsidR="006B1B72" w:rsidRPr="003C69F9">
              <w:rPr>
                <w:b/>
                <w:bCs/>
                <w:sz w:val="20"/>
              </w:rPr>
              <w:t xml:space="preserve"> </w:t>
            </w:r>
          </w:p>
        </w:tc>
        <w:tc>
          <w:tcPr>
            <w:tcW w:w="4536" w:type="dxa"/>
          </w:tcPr>
          <w:p w14:paraId="386800C0" w14:textId="77777777" w:rsidR="00B52726" w:rsidRDefault="006B1B72" w:rsidP="006B1B72">
            <w:pPr>
              <w:rPr>
                <w:color w:val="212529"/>
                <w:sz w:val="20"/>
                <w:shd w:val="clear" w:color="auto" w:fill="FFFFFF"/>
              </w:rPr>
            </w:pPr>
            <w:r>
              <w:rPr>
                <w:b/>
                <w:bCs/>
                <w:sz w:val="20"/>
              </w:rPr>
              <w:t xml:space="preserve">Aujourd’hui, mise en place d’un programme de financement pour </w:t>
            </w:r>
            <w:r w:rsidRPr="008445C4">
              <w:rPr>
                <w:b/>
                <w:bCs/>
                <w:sz w:val="20"/>
              </w:rPr>
              <w:t xml:space="preserve">faciliter les </w:t>
            </w:r>
            <w:r w:rsidR="008D26BD" w:rsidRPr="008445C4">
              <w:rPr>
                <w:b/>
                <w:bCs/>
                <w:sz w:val="20"/>
              </w:rPr>
              <w:t>alliances</w:t>
            </w:r>
            <w:r w:rsidRPr="008445C4">
              <w:rPr>
                <w:b/>
                <w:bCs/>
                <w:sz w:val="20"/>
              </w:rPr>
              <w:t xml:space="preserve"> d’entreprises européenne dans des </w:t>
            </w:r>
            <w:r w:rsidRPr="008445C4">
              <w:rPr>
                <w:b/>
                <w:bCs/>
                <w:sz w:val="20"/>
              </w:rPr>
              <w:t>domaines</w:t>
            </w:r>
            <w:r w:rsidRPr="008445C4">
              <w:rPr>
                <w:b/>
                <w:bCs/>
                <w:sz w:val="20"/>
              </w:rPr>
              <w:t xml:space="preserve"> stratégiques</w:t>
            </w:r>
            <w:r>
              <w:rPr>
                <w:sz w:val="20"/>
              </w:rPr>
              <w:t xml:space="preserve"> </w:t>
            </w:r>
            <w:r w:rsidRPr="006B1B72">
              <w:rPr>
                <w:sz w:val="20"/>
              </w:rPr>
              <w:t>(</w:t>
            </w:r>
            <w:r w:rsidRPr="006B1B72">
              <w:rPr>
                <w:color w:val="212529"/>
                <w:sz w:val="20"/>
                <w:shd w:val="clear" w:color="auto" w:fill="FFFFFF"/>
              </w:rPr>
              <w:t xml:space="preserve">l’hydrogène propre, les batteries, les satellites, les </w:t>
            </w:r>
            <w:proofErr w:type="spellStart"/>
            <w:r w:rsidRPr="006B1B72">
              <w:rPr>
                <w:color w:val="212529"/>
                <w:sz w:val="20"/>
                <w:shd w:val="clear" w:color="auto" w:fill="FFFFFF"/>
              </w:rPr>
              <w:t>clouds</w:t>
            </w:r>
            <w:proofErr w:type="spellEnd"/>
            <w:r w:rsidRPr="006B1B72">
              <w:rPr>
                <w:color w:val="212529"/>
                <w:sz w:val="20"/>
                <w:shd w:val="clear" w:color="auto" w:fill="FFFFFF"/>
              </w:rPr>
              <w:t>, les industries à faible émissions carbone et les matières première</w:t>
            </w:r>
            <w:r>
              <w:rPr>
                <w:color w:val="212529"/>
                <w:sz w:val="20"/>
                <w:shd w:val="clear" w:color="auto" w:fill="FFFFFF"/>
              </w:rPr>
              <w:t xml:space="preserve"> …)</w:t>
            </w:r>
          </w:p>
          <w:p w14:paraId="357658B4" w14:textId="77777777" w:rsidR="008445C4" w:rsidRDefault="008445C4" w:rsidP="006B1B72">
            <w:pPr>
              <w:rPr>
                <w:color w:val="212529"/>
                <w:sz w:val="20"/>
                <w:shd w:val="clear" w:color="auto" w:fill="FFFFFF"/>
              </w:rPr>
            </w:pPr>
          </w:p>
          <w:p w14:paraId="3FF0E735" w14:textId="65BFF84B" w:rsidR="008445C4" w:rsidRPr="00F30880" w:rsidRDefault="008445C4" w:rsidP="006B1B72">
            <w:pPr>
              <w:rPr>
                <w:sz w:val="20"/>
              </w:rPr>
            </w:pPr>
            <w:r>
              <w:rPr>
                <w:color w:val="212529"/>
                <w:sz w:val="20"/>
                <w:shd w:val="clear" w:color="auto" w:fill="FFFFFF"/>
              </w:rPr>
              <w:t>Fonds structurels distribués à des régions/pays … de l’Union pour favoriser leur développement lorsque la concurrence a fait décliner une partie de leurs activités</w:t>
            </w:r>
          </w:p>
        </w:tc>
      </w:tr>
    </w:tbl>
    <w:p w14:paraId="03C5E6DE" w14:textId="77777777" w:rsidR="00570F46" w:rsidRDefault="00570F46" w:rsidP="00D305F0">
      <w:pPr>
        <w:jc w:val="center"/>
        <w:rPr>
          <w:sz w:val="20"/>
        </w:rPr>
      </w:pPr>
    </w:p>
    <w:p w14:paraId="604E624F" w14:textId="7AB63E20" w:rsidR="00DC0B89" w:rsidRDefault="00D305F0" w:rsidP="00D305F0">
      <w:pPr>
        <w:jc w:val="center"/>
        <w:rPr>
          <w:sz w:val="20"/>
        </w:rPr>
      </w:pPr>
      <w:r>
        <w:rPr>
          <w:sz w:val="20"/>
        </w:rPr>
        <w:lastRenderedPageBreak/>
        <w:t>QCM de vérification</w:t>
      </w:r>
    </w:p>
    <w:p w14:paraId="3C7A4F6E" w14:textId="77777777" w:rsidR="00837F57" w:rsidRDefault="00837F57" w:rsidP="00D305F0">
      <w:pPr>
        <w:jc w:val="center"/>
        <w:rPr>
          <w:sz w:val="20"/>
        </w:rPr>
      </w:pPr>
    </w:p>
    <w:tbl>
      <w:tblPr>
        <w:tblStyle w:val="Grilledutableau"/>
        <w:tblW w:w="0" w:type="auto"/>
        <w:tblLook w:val="04A0" w:firstRow="1" w:lastRow="0" w:firstColumn="1" w:lastColumn="0" w:noHBand="0" w:noVBand="1"/>
      </w:tblPr>
      <w:tblGrid>
        <w:gridCol w:w="5382"/>
        <w:gridCol w:w="850"/>
        <w:gridCol w:w="764"/>
        <w:gridCol w:w="5332"/>
        <w:gridCol w:w="850"/>
        <w:gridCol w:w="816"/>
      </w:tblGrid>
      <w:tr w:rsidR="00D305F0" w14:paraId="2A535ED6" w14:textId="77777777" w:rsidTr="00D305F0">
        <w:tc>
          <w:tcPr>
            <w:tcW w:w="5382" w:type="dxa"/>
          </w:tcPr>
          <w:p w14:paraId="309C4F93" w14:textId="77777777" w:rsidR="00D305F0" w:rsidRDefault="00D305F0" w:rsidP="00D305F0">
            <w:pPr>
              <w:jc w:val="center"/>
              <w:rPr>
                <w:sz w:val="20"/>
              </w:rPr>
            </w:pPr>
          </w:p>
        </w:tc>
        <w:tc>
          <w:tcPr>
            <w:tcW w:w="850" w:type="dxa"/>
          </w:tcPr>
          <w:p w14:paraId="77A5980F" w14:textId="496136D4" w:rsidR="00D305F0" w:rsidRDefault="00D305F0" w:rsidP="00D305F0">
            <w:pPr>
              <w:jc w:val="center"/>
              <w:rPr>
                <w:sz w:val="20"/>
              </w:rPr>
            </w:pPr>
            <w:r>
              <w:rPr>
                <w:sz w:val="20"/>
              </w:rPr>
              <w:t>Vrai</w:t>
            </w:r>
          </w:p>
        </w:tc>
        <w:tc>
          <w:tcPr>
            <w:tcW w:w="764" w:type="dxa"/>
          </w:tcPr>
          <w:p w14:paraId="26C7799A" w14:textId="7CE3F5D5" w:rsidR="00D305F0" w:rsidRDefault="00D305F0" w:rsidP="00D305F0">
            <w:pPr>
              <w:jc w:val="center"/>
              <w:rPr>
                <w:sz w:val="20"/>
              </w:rPr>
            </w:pPr>
            <w:r>
              <w:rPr>
                <w:sz w:val="20"/>
              </w:rPr>
              <w:t>Faux</w:t>
            </w:r>
          </w:p>
        </w:tc>
        <w:tc>
          <w:tcPr>
            <w:tcW w:w="5332" w:type="dxa"/>
          </w:tcPr>
          <w:p w14:paraId="4D90D00D" w14:textId="77777777" w:rsidR="00D305F0" w:rsidRDefault="00D305F0" w:rsidP="00D305F0">
            <w:pPr>
              <w:jc w:val="center"/>
              <w:rPr>
                <w:sz w:val="20"/>
              </w:rPr>
            </w:pPr>
          </w:p>
        </w:tc>
        <w:tc>
          <w:tcPr>
            <w:tcW w:w="850" w:type="dxa"/>
          </w:tcPr>
          <w:p w14:paraId="478A6B06" w14:textId="5F76E778" w:rsidR="00D305F0" w:rsidRDefault="00D305F0" w:rsidP="00D305F0">
            <w:pPr>
              <w:jc w:val="center"/>
              <w:rPr>
                <w:sz w:val="20"/>
              </w:rPr>
            </w:pPr>
            <w:r>
              <w:rPr>
                <w:sz w:val="20"/>
              </w:rPr>
              <w:t>Vrai</w:t>
            </w:r>
          </w:p>
        </w:tc>
        <w:tc>
          <w:tcPr>
            <w:tcW w:w="816" w:type="dxa"/>
          </w:tcPr>
          <w:p w14:paraId="480BEEEB" w14:textId="77777777" w:rsidR="00D305F0" w:rsidRDefault="00D305F0" w:rsidP="00D305F0">
            <w:pPr>
              <w:jc w:val="center"/>
              <w:rPr>
                <w:sz w:val="20"/>
              </w:rPr>
            </w:pPr>
            <w:r>
              <w:rPr>
                <w:sz w:val="20"/>
              </w:rPr>
              <w:t>Faux</w:t>
            </w:r>
          </w:p>
          <w:p w14:paraId="24389907" w14:textId="0DF340DC" w:rsidR="00570F46" w:rsidRDefault="00570F46" w:rsidP="00D305F0">
            <w:pPr>
              <w:jc w:val="center"/>
              <w:rPr>
                <w:sz w:val="20"/>
              </w:rPr>
            </w:pPr>
          </w:p>
        </w:tc>
      </w:tr>
      <w:tr w:rsidR="00D305F0" w14:paraId="42882EBE" w14:textId="77777777" w:rsidTr="00D305F0">
        <w:tc>
          <w:tcPr>
            <w:tcW w:w="5382" w:type="dxa"/>
          </w:tcPr>
          <w:p w14:paraId="171817EE" w14:textId="77777777" w:rsidR="00D305F0" w:rsidRDefault="00D305F0" w:rsidP="00D305F0">
            <w:pPr>
              <w:jc w:val="center"/>
              <w:rPr>
                <w:sz w:val="20"/>
              </w:rPr>
            </w:pPr>
            <w:r>
              <w:rPr>
                <w:sz w:val="20"/>
              </w:rPr>
              <w:t>La politique budgétaire fait partie des politiques structurelles</w:t>
            </w:r>
          </w:p>
          <w:p w14:paraId="5B6A018C" w14:textId="2F6A2B9E" w:rsidR="00D305F0" w:rsidRDefault="00D305F0" w:rsidP="00D305F0">
            <w:pPr>
              <w:jc w:val="center"/>
              <w:rPr>
                <w:sz w:val="20"/>
              </w:rPr>
            </w:pPr>
          </w:p>
        </w:tc>
        <w:tc>
          <w:tcPr>
            <w:tcW w:w="850" w:type="dxa"/>
          </w:tcPr>
          <w:p w14:paraId="0CCA2E7B" w14:textId="77777777" w:rsidR="00D305F0" w:rsidRDefault="00D305F0" w:rsidP="00D305F0">
            <w:pPr>
              <w:jc w:val="center"/>
              <w:rPr>
                <w:sz w:val="20"/>
              </w:rPr>
            </w:pPr>
          </w:p>
        </w:tc>
        <w:tc>
          <w:tcPr>
            <w:tcW w:w="764" w:type="dxa"/>
          </w:tcPr>
          <w:p w14:paraId="4365D743" w14:textId="77777777" w:rsidR="00D305F0" w:rsidRDefault="00D305F0" w:rsidP="00D305F0">
            <w:pPr>
              <w:jc w:val="center"/>
              <w:rPr>
                <w:sz w:val="20"/>
              </w:rPr>
            </w:pPr>
          </w:p>
        </w:tc>
        <w:tc>
          <w:tcPr>
            <w:tcW w:w="5332" w:type="dxa"/>
          </w:tcPr>
          <w:p w14:paraId="34FFF01F" w14:textId="32E74F0D" w:rsidR="00D305F0" w:rsidRDefault="002039C8" w:rsidP="00D305F0">
            <w:pPr>
              <w:jc w:val="center"/>
              <w:rPr>
                <w:sz w:val="20"/>
              </w:rPr>
            </w:pPr>
            <w:r>
              <w:rPr>
                <w:sz w:val="20"/>
              </w:rPr>
              <w:t>L’augmentation des dépenses publiques est une politique conjoncturelle</w:t>
            </w:r>
          </w:p>
        </w:tc>
        <w:tc>
          <w:tcPr>
            <w:tcW w:w="850" w:type="dxa"/>
          </w:tcPr>
          <w:p w14:paraId="59AB9360" w14:textId="77777777" w:rsidR="00D305F0" w:rsidRDefault="00D305F0" w:rsidP="00D305F0">
            <w:pPr>
              <w:jc w:val="center"/>
              <w:rPr>
                <w:sz w:val="20"/>
              </w:rPr>
            </w:pPr>
          </w:p>
        </w:tc>
        <w:tc>
          <w:tcPr>
            <w:tcW w:w="816" w:type="dxa"/>
          </w:tcPr>
          <w:p w14:paraId="2641B9F8" w14:textId="77777777" w:rsidR="00D305F0" w:rsidRDefault="00D305F0" w:rsidP="00D305F0">
            <w:pPr>
              <w:jc w:val="center"/>
              <w:rPr>
                <w:sz w:val="20"/>
              </w:rPr>
            </w:pPr>
          </w:p>
        </w:tc>
      </w:tr>
      <w:tr w:rsidR="00D305F0" w14:paraId="3D7B93D7" w14:textId="77777777" w:rsidTr="00D305F0">
        <w:tc>
          <w:tcPr>
            <w:tcW w:w="5382" w:type="dxa"/>
          </w:tcPr>
          <w:p w14:paraId="7D760C15" w14:textId="2E5FE1E7" w:rsidR="00D305F0" w:rsidRDefault="00D305F0" w:rsidP="00D305F0">
            <w:pPr>
              <w:jc w:val="center"/>
              <w:rPr>
                <w:sz w:val="20"/>
              </w:rPr>
            </w:pPr>
            <w:r>
              <w:rPr>
                <w:sz w:val="20"/>
              </w:rPr>
              <w:t>Dans une politique de lutte contre l’inflation, la Banque Centrale doit baisser ses taux d’intérêt</w:t>
            </w:r>
          </w:p>
        </w:tc>
        <w:tc>
          <w:tcPr>
            <w:tcW w:w="850" w:type="dxa"/>
          </w:tcPr>
          <w:p w14:paraId="34BA7266" w14:textId="77777777" w:rsidR="00D305F0" w:rsidRDefault="00D305F0" w:rsidP="00D305F0">
            <w:pPr>
              <w:jc w:val="center"/>
              <w:rPr>
                <w:sz w:val="20"/>
              </w:rPr>
            </w:pPr>
          </w:p>
        </w:tc>
        <w:tc>
          <w:tcPr>
            <w:tcW w:w="764" w:type="dxa"/>
          </w:tcPr>
          <w:p w14:paraId="6FC374C4" w14:textId="77777777" w:rsidR="00D305F0" w:rsidRDefault="00D305F0" w:rsidP="00D305F0">
            <w:pPr>
              <w:jc w:val="center"/>
              <w:rPr>
                <w:sz w:val="20"/>
              </w:rPr>
            </w:pPr>
          </w:p>
        </w:tc>
        <w:tc>
          <w:tcPr>
            <w:tcW w:w="5332" w:type="dxa"/>
          </w:tcPr>
          <w:p w14:paraId="38636882" w14:textId="78908D9F" w:rsidR="00D305F0" w:rsidRDefault="002039C8" w:rsidP="00D305F0">
            <w:pPr>
              <w:jc w:val="center"/>
              <w:rPr>
                <w:sz w:val="20"/>
              </w:rPr>
            </w:pPr>
            <w:r>
              <w:rPr>
                <w:sz w:val="20"/>
              </w:rPr>
              <w:t xml:space="preserve">On peut utiliser le budget de l’Etat pour mener des </w:t>
            </w:r>
            <w:r w:rsidR="00570F46">
              <w:rPr>
                <w:sz w:val="20"/>
              </w:rPr>
              <w:t>politiques</w:t>
            </w:r>
            <w:r>
              <w:rPr>
                <w:sz w:val="20"/>
              </w:rPr>
              <w:t xml:space="preserve"> structurelles</w:t>
            </w:r>
          </w:p>
        </w:tc>
        <w:tc>
          <w:tcPr>
            <w:tcW w:w="850" w:type="dxa"/>
          </w:tcPr>
          <w:p w14:paraId="58AD0CE1" w14:textId="77777777" w:rsidR="00D305F0" w:rsidRDefault="00D305F0" w:rsidP="00D305F0">
            <w:pPr>
              <w:jc w:val="center"/>
              <w:rPr>
                <w:sz w:val="20"/>
              </w:rPr>
            </w:pPr>
          </w:p>
        </w:tc>
        <w:tc>
          <w:tcPr>
            <w:tcW w:w="816" w:type="dxa"/>
          </w:tcPr>
          <w:p w14:paraId="01D402C9" w14:textId="77777777" w:rsidR="00D305F0" w:rsidRDefault="00D305F0" w:rsidP="00D305F0">
            <w:pPr>
              <w:jc w:val="center"/>
              <w:rPr>
                <w:sz w:val="20"/>
              </w:rPr>
            </w:pPr>
          </w:p>
        </w:tc>
      </w:tr>
      <w:tr w:rsidR="00D305F0" w14:paraId="2A9053B7" w14:textId="77777777" w:rsidTr="00D305F0">
        <w:tc>
          <w:tcPr>
            <w:tcW w:w="5382" w:type="dxa"/>
          </w:tcPr>
          <w:p w14:paraId="48E36923" w14:textId="517B77AD" w:rsidR="00D305F0" w:rsidRDefault="00D305F0" w:rsidP="00D305F0">
            <w:pPr>
              <w:jc w:val="center"/>
              <w:rPr>
                <w:sz w:val="20"/>
              </w:rPr>
            </w:pPr>
            <w:r>
              <w:rPr>
                <w:sz w:val="20"/>
              </w:rPr>
              <w:t>La Banque Centrale Européenne fait partie de la commission européenne</w:t>
            </w:r>
          </w:p>
        </w:tc>
        <w:tc>
          <w:tcPr>
            <w:tcW w:w="850" w:type="dxa"/>
          </w:tcPr>
          <w:p w14:paraId="57453FE0" w14:textId="77777777" w:rsidR="00D305F0" w:rsidRDefault="00D305F0" w:rsidP="00D305F0">
            <w:pPr>
              <w:jc w:val="center"/>
              <w:rPr>
                <w:sz w:val="20"/>
              </w:rPr>
            </w:pPr>
          </w:p>
        </w:tc>
        <w:tc>
          <w:tcPr>
            <w:tcW w:w="764" w:type="dxa"/>
          </w:tcPr>
          <w:p w14:paraId="16B05E40" w14:textId="77777777" w:rsidR="00D305F0" w:rsidRDefault="00D305F0" w:rsidP="00D305F0">
            <w:pPr>
              <w:jc w:val="center"/>
              <w:rPr>
                <w:sz w:val="20"/>
              </w:rPr>
            </w:pPr>
          </w:p>
        </w:tc>
        <w:tc>
          <w:tcPr>
            <w:tcW w:w="5332" w:type="dxa"/>
          </w:tcPr>
          <w:p w14:paraId="071C89FB" w14:textId="2181DC75" w:rsidR="00D305F0" w:rsidRDefault="00570F46" w:rsidP="00D305F0">
            <w:pPr>
              <w:jc w:val="center"/>
              <w:rPr>
                <w:sz w:val="20"/>
              </w:rPr>
            </w:pPr>
            <w:r>
              <w:rPr>
                <w:sz w:val="20"/>
              </w:rPr>
              <w:t>Les Etats dans le cadre européen ne sont pas libres d’utiliser comme ils le souhaitent leur politique budgétaire.</w:t>
            </w:r>
          </w:p>
        </w:tc>
        <w:tc>
          <w:tcPr>
            <w:tcW w:w="850" w:type="dxa"/>
          </w:tcPr>
          <w:p w14:paraId="6CE615A8" w14:textId="77777777" w:rsidR="00D305F0" w:rsidRDefault="00D305F0" w:rsidP="00D305F0">
            <w:pPr>
              <w:jc w:val="center"/>
              <w:rPr>
                <w:sz w:val="20"/>
              </w:rPr>
            </w:pPr>
          </w:p>
        </w:tc>
        <w:tc>
          <w:tcPr>
            <w:tcW w:w="816" w:type="dxa"/>
          </w:tcPr>
          <w:p w14:paraId="51D9C611" w14:textId="77777777" w:rsidR="00D305F0" w:rsidRDefault="00D305F0" w:rsidP="00D305F0">
            <w:pPr>
              <w:jc w:val="center"/>
              <w:rPr>
                <w:sz w:val="20"/>
              </w:rPr>
            </w:pPr>
          </w:p>
        </w:tc>
      </w:tr>
      <w:tr w:rsidR="00D305F0" w14:paraId="62167169" w14:textId="77777777" w:rsidTr="00D305F0">
        <w:tc>
          <w:tcPr>
            <w:tcW w:w="5382" w:type="dxa"/>
          </w:tcPr>
          <w:p w14:paraId="7DE86FA4" w14:textId="16611E75" w:rsidR="00D305F0" w:rsidRDefault="00D305F0" w:rsidP="00D305F0">
            <w:pPr>
              <w:jc w:val="center"/>
              <w:rPr>
                <w:sz w:val="20"/>
              </w:rPr>
            </w:pPr>
            <w:r>
              <w:rPr>
                <w:sz w:val="20"/>
              </w:rPr>
              <w:t xml:space="preserve">La commission à la concurrence favorise la </w:t>
            </w:r>
            <w:r w:rsidR="002039C8">
              <w:rPr>
                <w:sz w:val="20"/>
              </w:rPr>
              <w:t>constitution</w:t>
            </w:r>
            <w:r>
              <w:rPr>
                <w:sz w:val="20"/>
              </w:rPr>
              <w:t xml:space="preserve"> d</w:t>
            </w:r>
            <w:r w:rsidR="002039C8">
              <w:rPr>
                <w:sz w:val="20"/>
              </w:rPr>
              <w:t>’entreprises</w:t>
            </w:r>
            <w:r>
              <w:rPr>
                <w:sz w:val="20"/>
              </w:rPr>
              <w:t xml:space="preserve"> </w:t>
            </w:r>
            <w:r w:rsidR="002039C8">
              <w:rPr>
                <w:sz w:val="20"/>
              </w:rPr>
              <w:t>géantes industrielles européennes</w:t>
            </w:r>
          </w:p>
        </w:tc>
        <w:tc>
          <w:tcPr>
            <w:tcW w:w="850" w:type="dxa"/>
          </w:tcPr>
          <w:p w14:paraId="590FD073" w14:textId="77777777" w:rsidR="00D305F0" w:rsidRDefault="00D305F0" w:rsidP="00D305F0">
            <w:pPr>
              <w:jc w:val="center"/>
              <w:rPr>
                <w:sz w:val="20"/>
              </w:rPr>
            </w:pPr>
          </w:p>
        </w:tc>
        <w:tc>
          <w:tcPr>
            <w:tcW w:w="764" w:type="dxa"/>
          </w:tcPr>
          <w:p w14:paraId="4EBCBEF1" w14:textId="77777777" w:rsidR="00D305F0" w:rsidRDefault="00D305F0" w:rsidP="00D305F0">
            <w:pPr>
              <w:jc w:val="center"/>
              <w:rPr>
                <w:sz w:val="20"/>
              </w:rPr>
            </w:pPr>
          </w:p>
        </w:tc>
        <w:tc>
          <w:tcPr>
            <w:tcW w:w="5332" w:type="dxa"/>
          </w:tcPr>
          <w:p w14:paraId="39F6045C" w14:textId="671096D0" w:rsidR="00D305F0" w:rsidRDefault="00570F46" w:rsidP="00D305F0">
            <w:pPr>
              <w:jc w:val="center"/>
              <w:rPr>
                <w:sz w:val="20"/>
              </w:rPr>
            </w:pPr>
            <w:r>
              <w:rPr>
                <w:sz w:val="20"/>
              </w:rPr>
              <w:t>La commission à la concurrence peut infliger des amendes aux entreprises qui faussent le jeu de la concurrence</w:t>
            </w:r>
          </w:p>
        </w:tc>
        <w:tc>
          <w:tcPr>
            <w:tcW w:w="850" w:type="dxa"/>
          </w:tcPr>
          <w:p w14:paraId="2E120AF9" w14:textId="77777777" w:rsidR="00D305F0" w:rsidRDefault="00D305F0" w:rsidP="00D305F0">
            <w:pPr>
              <w:jc w:val="center"/>
              <w:rPr>
                <w:sz w:val="20"/>
              </w:rPr>
            </w:pPr>
          </w:p>
        </w:tc>
        <w:tc>
          <w:tcPr>
            <w:tcW w:w="816" w:type="dxa"/>
          </w:tcPr>
          <w:p w14:paraId="053BCC3A" w14:textId="77777777" w:rsidR="00D305F0" w:rsidRDefault="00D305F0" w:rsidP="00D305F0">
            <w:pPr>
              <w:jc w:val="center"/>
              <w:rPr>
                <w:sz w:val="20"/>
              </w:rPr>
            </w:pPr>
          </w:p>
        </w:tc>
      </w:tr>
      <w:tr w:rsidR="00D305F0" w14:paraId="4F157A7F" w14:textId="77777777" w:rsidTr="00D305F0">
        <w:tc>
          <w:tcPr>
            <w:tcW w:w="5382" w:type="dxa"/>
          </w:tcPr>
          <w:p w14:paraId="1209A6A8" w14:textId="4306B5EF" w:rsidR="00D305F0" w:rsidRDefault="002039C8" w:rsidP="00D305F0">
            <w:pPr>
              <w:jc w:val="center"/>
              <w:rPr>
                <w:sz w:val="20"/>
              </w:rPr>
            </w:pPr>
            <w:r>
              <w:rPr>
                <w:sz w:val="20"/>
              </w:rPr>
              <w:t>La commission à la concurrence défend les intérêts des consommateurs</w:t>
            </w:r>
          </w:p>
        </w:tc>
        <w:tc>
          <w:tcPr>
            <w:tcW w:w="850" w:type="dxa"/>
          </w:tcPr>
          <w:p w14:paraId="174B48E2" w14:textId="77777777" w:rsidR="00D305F0" w:rsidRDefault="00D305F0" w:rsidP="00D305F0">
            <w:pPr>
              <w:jc w:val="center"/>
              <w:rPr>
                <w:sz w:val="20"/>
              </w:rPr>
            </w:pPr>
          </w:p>
        </w:tc>
        <w:tc>
          <w:tcPr>
            <w:tcW w:w="764" w:type="dxa"/>
          </w:tcPr>
          <w:p w14:paraId="3E37D560" w14:textId="77777777" w:rsidR="00D305F0" w:rsidRDefault="00D305F0" w:rsidP="00D305F0">
            <w:pPr>
              <w:jc w:val="center"/>
              <w:rPr>
                <w:sz w:val="20"/>
              </w:rPr>
            </w:pPr>
          </w:p>
        </w:tc>
        <w:tc>
          <w:tcPr>
            <w:tcW w:w="5332" w:type="dxa"/>
          </w:tcPr>
          <w:p w14:paraId="7F01A474" w14:textId="74E852CF" w:rsidR="00D305F0" w:rsidRDefault="00FB0335" w:rsidP="00D305F0">
            <w:pPr>
              <w:jc w:val="center"/>
              <w:rPr>
                <w:sz w:val="20"/>
              </w:rPr>
            </w:pPr>
            <w:r>
              <w:rPr>
                <w:sz w:val="20"/>
              </w:rPr>
              <w:t xml:space="preserve">Baisser le taux d’imposition est une politique fiscale qui peut avoir un effet sur la politique budgétaire </w:t>
            </w:r>
          </w:p>
        </w:tc>
        <w:tc>
          <w:tcPr>
            <w:tcW w:w="850" w:type="dxa"/>
          </w:tcPr>
          <w:p w14:paraId="7D0EFB82" w14:textId="77777777" w:rsidR="00D305F0" w:rsidRDefault="00D305F0" w:rsidP="00D305F0">
            <w:pPr>
              <w:jc w:val="center"/>
              <w:rPr>
                <w:sz w:val="20"/>
              </w:rPr>
            </w:pPr>
          </w:p>
        </w:tc>
        <w:tc>
          <w:tcPr>
            <w:tcW w:w="816" w:type="dxa"/>
          </w:tcPr>
          <w:p w14:paraId="42D3B6B8" w14:textId="77777777" w:rsidR="00D305F0" w:rsidRDefault="00D305F0" w:rsidP="00D305F0">
            <w:pPr>
              <w:jc w:val="center"/>
              <w:rPr>
                <w:sz w:val="20"/>
              </w:rPr>
            </w:pPr>
          </w:p>
        </w:tc>
      </w:tr>
      <w:tr w:rsidR="00D305F0" w14:paraId="740D1143" w14:textId="77777777" w:rsidTr="00D305F0">
        <w:tc>
          <w:tcPr>
            <w:tcW w:w="5382" w:type="dxa"/>
          </w:tcPr>
          <w:p w14:paraId="0609492F" w14:textId="631ECFA3" w:rsidR="00D305F0" w:rsidRDefault="002039C8" w:rsidP="00D305F0">
            <w:pPr>
              <w:jc w:val="center"/>
              <w:rPr>
                <w:sz w:val="20"/>
              </w:rPr>
            </w:pPr>
            <w:r>
              <w:rPr>
                <w:sz w:val="20"/>
              </w:rPr>
              <w:t>La fabrication de batteries peut être considérée comme un domaine stratégique pour l’Europe aujourd’hui</w:t>
            </w:r>
          </w:p>
        </w:tc>
        <w:tc>
          <w:tcPr>
            <w:tcW w:w="850" w:type="dxa"/>
          </w:tcPr>
          <w:p w14:paraId="2D494AE5" w14:textId="77777777" w:rsidR="00D305F0" w:rsidRDefault="00D305F0" w:rsidP="00D305F0">
            <w:pPr>
              <w:jc w:val="center"/>
              <w:rPr>
                <w:sz w:val="20"/>
              </w:rPr>
            </w:pPr>
          </w:p>
        </w:tc>
        <w:tc>
          <w:tcPr>
            <w:tcW w:w="764" w:type="dxa"/>
          </w:tcPr>
          <w:p w14:paraId="6FCAFD38" w14:textId="77777777" w:rsidR="00D305F0" w:rsidRDefault="00D305F0" w:rsidP="00D305F0">
            <w:pPr>
              <w:jc w:val="center"/>
              <w:rPr>
                <w:sz w:val="20"/>
              </w:rPr>
            </w:pPr>
          </w:p>
        </w:tc>
        <w:tc>
          <w:tcPr>
            <w:tcW w:w="5332" w:type="dxa"/>
          </w:tcPr>
          <w:p w14:paraId="596138DD" w14:textId="148C4875" w:rsidR="00D305F0" w:rsidRDefault="00FB0335" w:rsidP="00D305F0">
            <w:pPr>
              <w:jc w:val="center"/>
              <w:rPr>
                <w:sz w:val="20"/>
              </w:rPr>
            </w:pPr>
            <w:r>
              <w:rPr>
                <w:sz w:val="20"/>
              </w:rPr>
              <w:t>La compétitivité d’une économie dépend d’abord des politiques structurelles</w:t>
            </w:r>
          </w:p>
        </w:tc>
        <w:tc>
          <w:tcPr>
            <w:tcW w:w="850" w:type="dxa"/>
          </w:tcPr>
          <w:p w14:paraId="01CF694E" w14:textId="77777777" w:rsidR="00D305F0" w:rsidRDefault="00D305F0" w:rsidP="00D305F0">
            <w:pPr>
              <w:jc w:val="center"/>
              <w:rPr>
                <w:sz w:val="20"/>
              </w:rPr>
            </w:pPr>
          </w:p>
        </w:tc>
        <w:tc>
          <w:tcPr>
            <w:tcW w:w="816" w:type="dxa"/>
          </w:tcPr>
          <w:p w14:paraId="0D0781D9" w14:textId="77777777" w:rsidR="00D305F0" w:rsidRDefault="00D305F0" w:rsidP="00D305F0">
            <w:pPr>
              <w:jc w:val="center"/>
              <w:rPr>
                <w:sz w:val="20"/>
              </w:rPr>
            </w:pPr>
          </w:p>
        </w:tc>
      </w:tr>
      <w:tr w:rsidR="00D305F0" w14:paraId="79879540" w14:textId="77777777" w:rsidTr="00D305F0">
        <w:tc>
          <w:tcPr>
            <w:tcW w:w="5382" w:type="dxa"/>
          </w:tcPr>
          <w:p w14:paraId="726D3889" w14:textId="77777777" w:rsidR="00D305F0" w:rsidRDefault="002039C8" w:rsidP="00D305F0">
            <w:pPr>
              <w:jc w:val="center"/>
              <w:rPr>
                <w:sz w:val="20"/>
              </w:rPr>
            </w:pPr>
            <w:r>
              <w:rPr>
                <w:sz w:val="20"/>
              </w:rPr>
              <w:t>La politique fiscale consiste à augmenter les impôts</w:t>
            </w:r>
          </w:p>
          <w:p w14:paraId="345C2759" w14:textId="7948A19F" w:rsidR="002039C8" w:rsidRDefault="002039C8" w:rsidP="00D305F0">
            <w:pPr>
              <w:jc w:val="center"/>
              <w:rPr>
                <w:sz w:val="20"/>
              </w:rPr>
            </w:pPr>
          </w:p>
        </w:tc>
        <w:tc>
          <w:tcPr>
            <w:tcW w:w="850" w:type="dxa"/>
          </w:tcPr>
          <w:p w14:paraId="4E5E612A" w14:textId="77777777" w:rsidR="00D305F0" w:rsidRDefault="00D305F0" w:rsidP="00D305F0">
            <w:pPr>
              <w:jc w:val="center"/>
              <w:rPr>
                <w:sz w:val="20"/>
              </w:rPr>
            </w:pPr>
          </w:p>
        </w:tc>
        <w:tc>
          <w:tcPr>
            <w:tcW w:w="764" w:type="dxa"/>
          </w:tcPr>
          <w:p w14:paraId="15C26E50" w14:textId="77777777" w:rsidR="00D305F0" w:rsidRDefault="00D305F0" w:rsidP="00D305F0">
            <w:pPr>
              <w:jc w:val="center"/>
              <w:rPr>
                <w:sz w:val="20"/>
              </w:rPr>
            </w:pPr>
          </w:p>
        </w:tc>
        <w:tc>
          <w:tcPr>
            <w:tcW w:w="5332" w:type="dxa"/>
          </w:tcPr>
          <w:p w14:paraId="5F0EB5AC" w14:textId="389D05A2" w:rsidR="00D305F0" w:rsidRDefault="00FB0335" w:rsidP="00D305F0">
            <w:pPr>
              <w:jc w:val="center"/>
              <w:rPr>
                <w:sz w:val="20"/>
              </w:rPr>
            </w:pPr>
            <w:r>
              <w:rPr>
                <w:sz w:val="20"/>
              </w:rPr>
              <w:t>La commission à la concurrence peut interdire la concentration entre deux entreprises.</w:t>
            </w:r>
          </w:p>
        </w:tc>
        <w:tc>
          <w:tcPr>
            <w:tcW w:w="850" w:type="dxa"/>
          </w:tcPr>
          <w:p w14:paraId="525C73AE" w14:textId="77777777" w:rsidR="00D305F0" w:rsidRDefault="00D305F0" w:rsidP="00D305F0">
            <w:pPr>
              <w:jc w:val="center"/>
              <w:rPr>
                <w:sz w:val="20"/>
              </w:rPr>
            </w:pPr>
          </w:p>
        </w:tc>
        <w:tc>
          <w:tcPr>
            <w:tcW w:w="816" w:type="dxa"/>
          </w:tcPr>
          <w:p w14:paraId="3FCEBF24" w14:textId="77777777" w:rsidR="00D305F0" w:rsidRDefault="00D305F0" w:rsidP="00D305F0">
            <w:pPr>
              <w:jc w:val="center"/>
              <w:rPr>
                <w:sz w:val="20"/>
              </w:rPr>
            </w:pPr>
          </w:p>
        </w:tc>
      </w:tr>
      <w:tr w:rsidR="00FB0335" w14:paraId="108E0FAA" w14:textId="77777777" w:rsidTr="00D305F0">
        <w:tc>
          <w:tcPr>
            <w:tcW w:w="5382" w:type="dxa"/>
          </w:tcPr>
          <w:p w14:paraId="137ACAAF" w14:textId="59CE6081" w:rsidR="00FB0335" w:rsidRDefault="00FB0335" w:rsidP="00D305F0">
            <w:pPr>
              <w:jc w:val="center"/>
              <w:rPr>
                <w:sz w:val="20"/>
              </w:rPr>
            </w:pPr>
            <w:r>
              <w:rPr>
                <w:sz w:val="20"/>
              </w:rPr>
              <w:t xml:space="preserve">Contraindre par la loi les plateformes numériques de </w:t>
            </w:r>
            <w:r w:rsidR="00DF787E">
              <w:rPr>
                <w:sz w:val="20"/>
              </w:rPr>
              <w:t>coursiers à embaucher les coursiers comme des salariés relève d’une politique structurelle</w:t>
            </w:r>
          </w:p>
        </w:tc>
        <w:tc>
          <w:tcPr>
            <w:tcW w:w="850" w:type="dxa"/>
          </w:tcPr>
          <w:p w14:paraId="68BE59C3" w14:textId="77777777" w:rsidR="00FB0335" w:rsidRDefault="00FB0335" w:rsidP="00D305F0">
            <w:pPr>
              <w:jc w:val="center"/>
              <w:rPr>
                <w:sz w:val="20"/>
              </w:rPr>
            </w:pPr>
          </w:p>
        </w:tc>
        <w:tc>
          <w:tcPr>
            <w:tcW w:w="764" w:type="dxa"/>
          </w:tcPr>
          <w:p w14:paraId="698684E6" w14:textId="77777777" w:rsidR="00FB0335" w:rsidRDefault="00FB0335" w:rsidP="00D305F0">
            <w:pPr>
              <w:jc w:val="center"/>
              <w:rPr>
                <w:sz w:val="20"/>
              </w:rPr>
            </w:pPr>
          </w:p>
        </w:tc>
        <w:tc>
          <w:tcPr>
            <w:tcW w:w="5332" w:type="dxa"/>
          </w:tcPr>
          <w:p w14:paraId="68A55D72" w14:textId="37FDF96F" w:rsidR="00FB0335" w:rsidRDefault="00DF787E" w:rsidP="00D305F0">
            <w:pPr>
              <w:jc w:val="center"/>
              <w:rPr>
                <w:sz w:val="20"/>
              </w:rPr>
            </w:pPr>
            <w:r>
              <w:rPr>
                <w:sz w:val="20"/>
              </w:rPr>
              <w:t>Une politique de lutte contre l’inflation passe par une hausse des dépenses publiques</w:t>
            </w:r>
          </w:p>
        </w:tc>
        <w:tc>
          <w:tcPr>
            <w:tcW w:w="850" w:type="dxa"/>
          </w:tcPr>
          <w:p w14:paraId="2AFEBBDA" w14:textId="77777777" w:rsidR="00FB0335" w:rsidRDefault="00FB0335" w:rsidP="00D305F0">
            <w:pPr>
              <w:jc w:val="center"/>
              <w:rPr>
                <w:sz w:val="20"/>
              </w:rPr>
            </w:pPr>
          </w:p>
        </w:tc>
        <w:tc>
          <w:tcPr>
            <w:tcW w:w="816" w:type="dxa"/>
          </w:tcPr>
          <w:p w14:paraId="09796115" w14:textId="77777777" w:rsidR="00FB0335" w:rsidRDefault="00FB0335" w:rsidP="00D305F0">
            <w:pPr>
              <w:jc w:val="center"/>
              <w:rPr>
                <w:sz w:val="20"/>
              </w:rPr>
            </w:pPr>
          </w:p>
        </w:tc>
      </w:tr>
      <w:tr w:rsidR="00FB0335" w14:paraId="05BDAB49" w14:textId="77777777" w:rsidTr="00D305F0">
        <w:tc>
          <w:tcPr>
            <w:tcW w:w="5382" w:type="dxa"/>
          </w:tcPr>
          <w:p w14:paraId="4C7B4886" w14:textId="77777777" w:rsidR="00FB0335" w:rsidRDefault="00DF787E" w:rsidP="00D305F0">
            <w:pPr>
              <w:jc w:val="center"/>
              <w:rPr>
                <w:sz w:val="20"/>
              </w:rPr>
            </w:pPr>
            <w:r>
              <w:rPr>
                <w:sz w:val="20"/>
              </w:rPr>
              <w:t>L’Union Européenne est un Etat avec un budget propre.</w:t>
            </w:r>
          </w:p>
          <w:p w14:paraId="37A63B3C" w14:textId="0B36B2F0" w:rsidR="00DF787E" w:rsidRDefault="00DF787E" w:rsidP="00D305F0">
            <w:pPr>
              <w:jc w:val="center"/>
              <w:rPr>
                <w:sz w:val="20"/>
              </w:rPr>
            </w:pPr>
          </w:p>
        </w:tc>
        <w:tc>
          <w:tcPr>
            <w:tcW w:w="850" w:type="dxa"/>
          </w:tcPr>
          <w:p w14:paraId="7F3B40CA" w14:textId="77777777" w:rsidR="00FB0335" w:rsidRDefault="00FB0335" w:rsidP="00D305F0">
            <w:pPr>
              <w:jc w:val="center"/>
              <w:rPr>
                <w:sz w:val="20"/>
              </w:rPr>
            </w:pPr>
          </w:p>
        </w:tc>
        <w:tc>
          <w:tcPr>
            <w:tcW w:w="764" w:type="dxa"/>
          </w:tcPr>
          <w:p w14:paraId="1F3176FA" w14:textId="77777777" w:rsidR="00FB0335" w:rsidRDefault="00FB0335" w:rsidP="00D305F0">
            <w:pPr>
              <w:jc w:val="center"/>
              <w:rPr>
                <w:sz w:val="20"/>
              </w:rPr>
            </w:pPr>
          </w:p>
        </w:tc>
        <w:tc>
          <w:tcPr>
            <w:tcW w:w="5332" w:type="dxa"/>
          </w:tcPr>
          <w:p w14:paraId="47AE1662" w14:textId="2C11FC77" w:rsidR="00FB0335" w:rsidRDefault="00DF787E" w:rsidP="00D305F0">
            <w:pPr>
              <w:jc w:val="center"/>
              <w:rPr>
                <w:sz w:val="20"/>
              </w:rPr>
            </w:pPr>
            <w:r>
              <w:rPr>
                <w:sz w:val="20"/>
              </w:rPr>
              <w:t>La PAC est une politique en faveur de l’agriculture européenne qui relève d’une politique structurelle</w:t>
            </w:r>
          </w:p>
        </w:tc>
        <w:tc>
          <w:tcPr>
            <w:tcW w:w="850" w:type="dxa"/>
          </w:tcPr>
          <w:p w14:paraId="7C9D84F7" w14:textId="77777777" w:rsidR="00FB0335" w:rsidRDefault="00FB0335" w:rsidP="00D305F0">
            <w:pPr>
              <w:jc w:val="center"/>
              <w:rPr>
                <w:sz w:val="20"/>
              </w:rPr>
            </w:pPr>
          </w:p>
        </w:tc>
        <w:tc>
          <w:tcPr>
            <w:tcW w:w="816" w:type="dxa"/>
          </w:tcPr>
          <w:p w14:paraId="4202EFFE" w14:textId="77777777" w:rsidR="00FB0335" w:rsidRDefault="00FB0335" w:rsidP="00D305F0">
            <w:pPr>
              <w:jc w:val="center"/>
              <w:rPr>
                <w:sz w:val="20"/>
              </w:rPr>
            </w:pPr>
          </w:p>
        </w:tc>
      </w:tr>
      <w:tr w:rsidR="00FB0335" w14:paraId="4AC9E016" w14:textId="77777777" w:rsidTr="00D305F0">
        <w:tc>
          <w:tcPr>
            <w:tcW w:w="5382" w:type="dxa"/>
          </w:tcPr>
          <w:p w14:paraId="5860B1FC" w14:textId="4853D29C" w:rsidR="00FB0335" w:rsidRDefault="00DF787E" w:rsidP="00D305F0">
            <w:pPr>
              <w:jc w:val="center"/>
              <w:rPr>
                <w:sz w:val="20"/>
              </w:rPr>
            </w:pPr>
            <w:r>
              <w:rPr>
                <w:sz w:val="20"/>
              </w:rPr>
              <w:t xml:space="preserve">Si les </w:t>
            </w:r>
            <w:r w:rsidR="001B1B34">
              <w:rPr>
                <w:sz w:val="20"/>
              </w:rPr>
              <w:t>dépenses</w:t>
            </w:r>
            <w:r>
              <w:rPr>
                <w:sz w:val="20"/>
              </w:rPr>
              <w:t xml:space="preserve"> d’un Etat dépassent ses recettes, celui-ci se trouve en déficit </w:t>
            </w:r>
            <w:r w:rsidR="001B1B34">
              <w:rPr>
                <w:sz w:val="20"/>
              </w:rPr>
              <w:t>budgétaire</w:t>
            </w:r>
          </w:p>
        </w:tc>
        <w:tc>
          <w:tcPr>
            <w:tcW w:w="850" w:type="dxa"/>
          </w:tcPr>
          <w:p w14:paraId="1098FFAB" w14:textId="77777777" w:rsidR="00FB0335" w:rsidRDefault="00FB0335" w:rsidP="00D305F0">
            <w:pPr>
              <w:jc w:val="center"/>
              <w:rPr>
                <w:sz w:val="20"/>
              </w:rPr>
            </w:pPr>
          </w:p>
        </w:tc>
        <w:tc>
          <w:tcPr>
            <w:tcW w:w="764" w:type="dxa"/>
          </w:tcPr>
          <w:p w14:paraId="589504E8" w14:textId="77777777" w:rsidR="00FB0335" w:rsidRDefault="00FB0335" w:rsidP="00D305F0">
            <w:pPr>
              <w:jc w:val="center"/>
              <w:rPr>
                <w:sz w:val="20"/>
              </w:rPr>
            </w:pPr>
          </w:p>
        </w:tc>
        <w:tc>
          <w:tcPr>
            <w:tcW w:w="5332" w:type="dxa"/>
          </w:tcPr>
          <w:p w14:paraId="67EA248D" w14:textId="67212798" w:rsidR="00FB0335" w:rsidRDefault="001B1B34" w:rsidP="00D305F0">
            <w:pPr>
              <w:jc w:val="center"/>
              <w:rPr>
                <w:sz w:val="20"/>
              </w:rPr>
            </w:pPr>
            <w:r>
              <w:rPr>
                <w:sz w:val="20"/>
              </w:rPr>
              <w:t>Les pays de la zone Euro n’ont pas de politique de change</w:t>
            </w:r>
          </w:p>
        </w:tc>
        <w:tc>
          <w:tcPr>
            <w:tcW w:w="850" w:type="dxa"/>
          </w:tcPr>
          <w:p w14:paraId="1C89211F" w14:textId="77777777" w:rsidR="00FB0335" w:rsidRDefault="00FB0335" w:rsidP="00D305F0">
            <w:pPr>
              <w:jc w:val="center"/>
              <w:rPr>
                <w:sz w:val="20"/>
              </w:rPr>
            </w:pPr>
          </w:p>
        </w:tc>
        <w:tc>
          <w:tcPr>
            <w:tcW w:w="816" w:type="dxa"/>
          </w:tcPr>
          <w:p w14:paraId="53C86B51" w14:textId="77777777" w:rsidR="00FB0335" w:rsidRDefault="00FB0335" w:rsidP="00D305F0">
            <w:pPr>
              <w:jc w:val="center"/>
              <w:rPr>
                <w:sz w:val="20"/>
              </w:rPr>
            </w:pPr>
          </w:p>
        </w:tc>
      </w:tr>
      <w:tr w:rsidR="00FB0335" w14:paraId="4197AE10" w14:textId="77777777" w:rsidTr="00D305F0">
        <w:tc>
          <w:tcPr>
            <w:tcW w:w="5382" w:type="dxa"/>
          </w:tcPr>
          <w:p w14:paraId="3DA687C8" w14:textId="3CDE2930" w:rsidR="00FB0335" w:rsidRDefault="001B1B34" w:rsidP="00D305F0">
            <w:pPr>
              <w:jc w:val="center"/>
              <w:rPr>
                <w:sz w:val="20"/>
              </w:rPr>
            </w:pPr>
            <w:r>
              <w:rPr>
                <w:sz w:val="20"/>
              </w:rPr>
              <w:t>Les budgets des Etats participant à l’Euro doivent être validés par la commission européenne en suivant les critères de stabilité</w:t>
            </w:r>
          </w:p>
        </w:tc>
        <w:tc>
          <w:tcPr>
            <w:tcW w:w="850" w:type="dxa"/>
          </w:tcPr>
          <w:p w14:paraId="38B3CAB0" w14:textId="77777777" w:rsidR="00FB0335" w:rsidRDefault="00FB0335" w:rsidP="00D305F0">
            <w:pPr>
              <w:jc w:val="center"/>
              <w:rPr>
                <w:sz w:val="20"/>
              </w:rPr>
            </w:pPr>
          </w:p>
        </w:tc>
        <w:tc>
          <w:tcPr>
            <w:tcW w:w="764" w:type="dxa"/>
          </w:tcPr>
          <w:p w14:paraId="6473A344" w14:textId="77777777" w:rsidR="00FB0335" w:rsidRDefault="00FB0335" w:rsidP="00D305F0">
            <w:pPr>
              <w:jc w:val="center"/>
              <w:rPr>
                <w:sz w:val="20"/>
              </w:rPr>
            </w:pPr>
          </w:p>
        </w:tc>
        <w:tc>
          <w:tcPr>
            <w:tcW w:w="5332" w:type="dxa"/>
          </w:tcPr>
          <w:p w14:paraId="434B6608" w14:textId="75627E67" w:rsidR="00FB0335" w:rsidRDefault="001B1B34" w:rsidP="00D305F0">
            <w:pPr>
              <w:jc w:val="center"/>
              <w:rPr>
                <w:sz w:val="20"/>
              </w:rPr>
            </w:pPr>
            <w:r>
              <w:rPr>
                <w:sz w:val="20"/>
              </w:rPr>
              <w:t>La baisse des taux d’intérêt est un moyen de stimuler la demande.</w:t>
            </w:r>
          </w:p>
        </w:tc>
        <w:tc>
          <w:tcPr>
            <w:tcW w:w="850" w:type="dxa"/>
          </w:tcPr>
          <w:p w14:paraId="3E962430" w14:textId="77777777" w:rsidR="00FB0335" w:rsidRDefault="00FB0335" w:rsidP="00D305F0">
            <w:pPr>
              <w:jc w:val="center"/>
              <w:rPr>
                <w:sz w:val="20"/>
              </w:rPr>
            </w:pPr>
          </w:p>
        </w:tc>
        <w:tc>
          <w:tcPr>
            <w:tcW w:w="816" w:type="dxa"/>
          </w:tcPr>
          <w:p w14:paraId="20F712C4" w14:textId="77777777" w:rsidR="00FB0335" w:rsidRDefault="00FB0335" w:rsidP="00D305F0">
            <w:pPr>
              <w:jc w:val="center"/>
              <w:rPr>
                <w:sz w:val="20"/>
              </w:rPr>
            </w:pPr>
          </w:p>
        </w:tc>
      </w:tr>
      <w:tr w:rsidR="00FB0335" w14:paraId="7B619215" w14:textId="77777777" w:rsidTr="00D305F0">
        <w:tc>
          <w:tcPr>
            <w:tcW w:w="5382" w:type="dxa"/>
          </w:tcPr>
          <w:p w14:paraId="72FD72E0" w14:textId="1C6ECDD5" w:rsidR="00FB0335" w:rsidRDefault="00837F57" w:rsidP="00D305F0">
            <w:pPr>
              <w:jc w:val="center"/>
              <w:rPr>
                <w:sz w:val="20"/>
              </w:rPr>
            </w:pPr>
            <w:r>
              <w:rPr>
                <w:sz w:val="20"/>
              </w:rPr>
              <w:t>Les Pays de la zone euro adoptent une stratégie de monnaie forte</w:t>
            </w:r>
          </w:p>
        </w:tc>
        <w:tc>
          <w:tcPr>
            <w:tcW w:w="850" w:type="dxa"/>
          </w:tcPr>
          <w:p w14:paraId="002CFE21" w14:textId="77777777" w:rsidR="00FB0335" w:rsidRDefault="00FB0335" w:rsidP="00D305F0">
            <w:pPr>
              <w:jc w:val="center"/>
              <w:rPr>
                <w:sz w:val="20"/>
              </w:rPr>
            </w:pPr>
          </w:p>
        </w:tc>
        <w:tc>
          <w:tcPr>
            <w:tcW w:w="764" w:type="dxa"/>
          </w:tcPr>
          <w:p w14:paraId="591DEA1D" w14:textId="77777777" w:rsidR="00FB0335" w:rsidRDefault="00FB0335" w:rsidP="00D305F0">
            <w:pPr>
              <w:jc w:val="center"/>
              <w:rPr>
                <w:sz w:val="20"/>
              </w:rPr>
            </w:pPr>
          </w:p>
        </w:tc>
        <w:tc>
          <w:tcPr>
            <w:tcW w:w="5332" w:type="dxa"/>
          </w:tcPr>
          <w:p w14:paraId="6BAB483B" w14:textId="541443CB" w:rsidR="00FB0335" w:rsidRDefault="00837F57" w:rsidP="00D305F0">
            <w:pPr>
              <w:jc w:val="center"/>
              <w:rPr>
                <w:sz w:val="20"/>
              </w:rPr>
            </w:pPr>
            <w:r>
              <w:rPr>
                <w:sz w:val="20"/>
              </w:rPr>
              <w:t>La politique monétaire de la BCE s’impose à tous les pays de la zone euro quelles que soient leurs différences ou leurs problèmes spécifiques.</w:t>
            </w:r>
          </w:p>
        </w:tc>
        <w:tc>
          <w:tcPr>
            <w:tcW w:w="850" w:type="dxa"/>
          </w:tcPr>
          <w:p w14:paraId="24FEE4AA" w14:textId="77777777" w:rsidR="00FB0335" w:rsidRDefault="00FB0335" w:rsidP="00D305F0">
            <w:pPr>
              <w:jc w:val="center"/>
              <w:rPr>
                <w:sz w:val="20"/>
              </w:rPr>
            </w:pPr>
          </w:p>
        </w:tc>
        <w:tc>
          <w:tcPr>
            <w:tcW w:w="816" w:type="dxa"/>
          </w:tcPr>
          <w:p w14:paraId="61971084" w14:textId="77777777" w:rsidR="00FB0335" w:rsidRDefault="00FB0335" w:rsidP="00D305F0">
            <w:pPr>
              <w:jc w:val="center"/>
              <w:rPr>
                <w:sz w:val="20"/>
              </w:rPr>
            </w:pPr>
          </w:p>
        </w:tc>
      </w:tr>
    </w:tbl>
    <w:p w14:paraId="206A64F8" w14:textId="17E0F3B9" w:rsidR="00D305F0" w:rsidRDefault="00D305F0" w:rsidP="00D305F0">
      <w:pPr>
        <w:jc w:val="center"/>
        <w:rPr>
          <w:sz w:val="20"/>
        </w:rPr>
      </w:pPr>
    </w:p>
    <w:p w14:paraId="2BF2B52F" w14:textId="191D8FAA" w:rsidR="00837F57" w:rsidRDefault="00837F57" w:rsidP="00D305F0">
      <w:pPr>
        <w:jc w:val="center"/>
        <w:rPr>
          <w:sz w:val="20"/>
        </w:rPr>
      </w:pPr>
    </w:p>
    <w:p w14:paraId="1E1D1A18" w14:textId="77777777" w:rsidR="00837F57" w:rsidRPr="00F30880" w:rsidRDefault="00837F57" w:rsidP="00D305F0">
      <w:pPr>
        <w:jc w:val="center"/>
        <w:rPr>
          <w:sz w:val="20"/>
        </w:rPr>
      </w:pPr>
    </w:p>
    <w:sectPr w:rsidR="00837F57" w:rsidRPr="00F30880" w:rsidSect="00F3088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358D4"/>
    <w:multiLevelType w:val="hybridMultilevel"/>
    <w:tmpl w:val="2474C54C"/>
    <w:lvl w:ilvl="0" w:tplc="6D26D90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80"/>
    <w:rsid w:val="000B6D31"/>
    <w:rsid w:val="00107710"/>
    <w:rsid w:val="001B1B34"/>
    <w:rsid w:val="001C735B"/>
    <w:rsid w:val="002039C8"/>
    <w:rsid w:val="002B2CCE"/>
    <w:rsid w:val="00317AB6"/>
    <w:rsid w:val="003C69F9"/>
    <w:rsid w:val="004D6065"/>
    <w:rsid w:val="00570F46"/>
    <w:rsid w:val="006B1B72"/>
    <w:rsid w:val="00800861"/>
    <w:rsid w:val="00837F57"/>
    <w:rsid w:val="008445C4"/>
    <w:rsid w:val="008D26BD"/>
    <w:rsid w:val="008D2D3F"/>
    <w:rsid w:val="00A60141"/>
    <w:rsid w:val="00B2195E"/>
    <w:rsid w:val="00B52726"/>
    <w:rsid w:val="00BB2748"/>
    <w:rsid w:val="00BC09EC"/>
    <w:rsid w:val="00BF7ABB"/>
    <w:rsid w:val="00C95EA0"/>
    <w:rsid w:val="00D301FF"/>
    <w:rsid w:val="00D305F0"/>
    <w:rsid w:val="00D754E6"/>
    <w:rsid w:val="00DC0B89"/>
    <w:rsid w:val="00DF787E"/>
    <w:rsid w:val="00EF3476"/>
    <w:rsid w:val="00F30880"/>
    <w:rsid w:val="00F65581"/>
    <w:rsid w:val="00FB0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6178"/>
  <w15:chartTrackingRefBased/>
  <w15:docId w15:val="{84A309C8-627A-45D0-A0D9-736895D8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80"/>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3088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17AB6"/>
    <w:pPr>
      <w:ind w:left="720"/>
      <w:contextualSpacing/>
    </w:pPr>
  </w:style>
  <w:style w:type="character" w:styleId="lev">
    <w:name w:val="Strong"/>
    <w:basedOn w:val="Policepardfaut"/>
    <w:uiPriority w:val="22"/>
    <w:qFormat/>
    <w:rsid w:val="001C7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962</TotalTime>
  <Pages>2</Pages>
  <Words>755</Words>
  <Characters>4156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MAROTTE</dc:creator>
  <cp:keywords/>
  <dc:description/>
  <cp:lastModifiedBy>antoine MAROTTE</cp:lastModifiedBy>
  <cp:revision>5</cp:revision>
  <dcterms:created xsi:type="dcterms:W3CDTF">2021-12-31T17:01:00Z</dcterms:created>
  <dcterms:modified xsi:type="dcterms:W3CDTF">2022-01-01T09:45:00Z</dcterms:modified>
</cp:coreProperties>
</file>