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6414" w14:textId="43EDD4B2" w:rsidR="00944C5D" w:rsidRPr="001F2FCF" w:rsidRDefault="00944C5D">
      <w:pPr>
        <w:rPr>
          <w:b/>
          <w:bCs/>
        </w:rPr>
      </w:pPr>
      <w:r w:rsidRPr="001F2FCF">
        <w:rPr>
          <w:b/>
          <w:bCs/>
        </w:rPr>
        <w:t>Le programme de cette année :</w:t>
      </w:r>
    </w:p>
    <w:tbl>
      <w:tblPr>
        <w:tblStyle w:val="Grilledutableau"/>
        <w:tblW w:w="0" w:type="auto"/>
        <w:tblInd w:w="0" w:type="dxa"/>
        <w:tblLook w:val="04A0" w:firstRow="1" w:lastRow="0" w:firstColumn="1" w:lastColumn="0" w:noHBand="0" w:noVBand="1"/>
      </w:tblPr>
      <w:tblGrid>
        <w:gridCol w:w="2275"/>
        <w:gridCol w:w="8181"/>
      </w:tblGrid>
      <w:tr w:rsidR="00944C5D" w14:paraId="0609B24D" w14:textId="77777777" w:rsidTr="00944C5D">
        <w:tc>
          <w:tcPr>
            <w:tcW w:w="2689" w:type="dxa"/>
            <w:tcBorders>
              <w:top w:val="single" w:sz="4" w:space="0" w:color="auto"/>
              <w:left w:val="single" w:sz="4" w:space="0" w:color="auto"/>
              <w:bottom w:val="single" w:sz="4" w:space="0" w:color="auto"/>
              <w:right w:val="single" w:sz="4" w:space="0" w:color="auto"/>
            </w:tcBorders>
            <w:hideMark/>
          </w:tcPr>
          <w:p w14:paraId="2CEBAC31" w14:textId="77777777" w:rsidR="00944C5D" w:rsidRPr="00944C5D" w:rsidRDefault="00944C5D">
            <w:pPr>
              <w:jc w:val="center"/>
              <w:rPr>
                <w:rFonts w:ascii="Arial" w:hAnsi="Arial" w:cs="Arial"/>
                <w:sz w:val="16"/>
                <w:szCs w:val="16"/>
              </w:rPr>
            </w:pPr>
            <w:r w:rsidRPr="00944C5D">
              <w:rPr>
                <w:rFonts w:ascii="Arial" w:hAnsi="Arial" w:cs="Arial"/>
                <w:sz w:val="16"/>
                <w:szCs w:val="16"/>
              </w:rPr>
              <w:t>Questionnement</w:t>
            </w:r>
          </w:p>
        </w:tc>
        <w:tc>
          <w:tcPr>
            <w:tcW w:w="12332" w:type="dxa"/>
            <w:tcBorders>
              <w:top w:val="single" w:sz="4" w:space="0" w:color="auto"/>
              <w:left w:val="single" w:sz="4" w:space="0" w:color="auto"/>
              <w:bottom w:val="single" w:sz="4" w:space="0" w:color="auto"/>
              <w:right w:val="single" w:sz="4" w:space="0" w:color="auto"/>
            </w:tcBorders>
            <w:hideMark/>
          </w:tcPr>
          <w:p w14:paraId="6839A206" w14:textId="77777777" w:rsidR="00944C5D" w:rsidRPr="00944C5D" w:rsidRDefault="00944C5D">
            <w:pPr>
              <w:jc w:val="center"/>
              <w:rPr>
                <w:rFonts w:ascii="Arial" w:hAnsi="Arial" w:cs="Arial"/>
                <w:sz w:val="16"/>
                <w:szCs w:val="16"/>
              </w:rPr>
            </w:pPr>
            <w:r w:rsidRPr="00944C5D">
              <w:rPr>
                <w:rFonts w:ascii="Arial" w:hAnsi="Arial" w:cs="Arial"/>
                <w:sz w:val="16"/>
                <w:szCs w:val="16"/>
              </w:rPr>
              <w:t>Objectif d’apprentissage</w:t>
            </w:r>
          </w:p>
        </w:tc>
      </w:tr>
      <w:tr w:rsidR="00944C5D" w14:paraId="3DED3060" w14:textId="77777777" w:rsidTr="00944C5D">
        <w:tc>
          <w:tcPr>
            <w:tcW w:w="15021" w:type="dxa"/>
            <w:gridSpan w:val="2"/>
            <w:tcBorders>
              <w:top w:val="single" w:sz="4" w:space="0" w:color="auto"/>
              <w:left w:val="single" w:sz="4" w:space="0" w:color="auto"/>
              <w:bottom w:val="single" w:sz="4" w:space="0" w:color="auto"/>
              <w:right w:val="single" w:sz="4" w:space="0" w:color="auto"/>
            </w:tcBorders>
            <w:hideMark/>
          </w:tcPr>
          <w:p w14:paraId="3D09D996" w14:textId="77777777" w:rsidR="00944C5D" w:rsidRPr="00944C5D" w:rsidRDefault="00944C5D">
            <w:pPr>
              <w:jc w:val="center"/>
              <w:rPr>
                <w:rFonts w:ascii="Arial" w:hAnsi="Arial" w:cs="Arial"/>
                <w:b/>
                <w:bCs/>
                <w:sz w:val="16"/>
                <w:szCs w:val="16"/>
              </w:rPr>
            </w:pPr>
            <w:r w:rsidRPr="00944C5D">
              <w:rPr>
                <w:rFonts w:ascii="Arial" w:hAnsi="Arial" w:cs="Arial"/>
                <w:b/>
                <w:bCs/>
                <w:sz w:val="16"/>
                <w:szCs w:val="16"/>
              </w:rPr>
              <w:t>Partie Science économique</w:t>
            </w:r>
          </w:p>
        </w:tc>
      </w:tr>
      <w:tr w:rsidR="00944C5D" w:rsidRPr="00944C5D" w14:paraId="75674B26" w14:textId="77777777" w:rsidTr="00944C5D">
        <w:tc>
          <w:tcPr>
            <w:tcW w:w="2689" w:type="dxa"/>
            <w:tcBorders>
              <w:top w:val="single" w:sz="4" w:space="0" w:color="auto"/>
              <w:left w:val="single" w:sz="4" w:space="0" w:color="auto"/>
              <w:bottom w:val="single" w:sz="4" w:space="0" w:color="auto"/>
              <w:right w:val="single" w:sz="4" w:space="0" w:color="auto"/>
            </w:tcBorders>
            <w:hideMark/>
          </w:tcPr>
          <w:p w14:paraId="4F65A765" w14:textId="77777777" w:rsidR="00944C5D" w:rsidRPr="00944C5D" w:rsidRDefault="00944C5D">
            <w:pPr>
              <w:rPr>
                <w:rFonts w:ascii="Arial" w:hAnsi="Arial" w:cs="Arial"/>
                <w:sz w:val="16"/>
                <w:szCs w:val="16"/>
              </w:rPr>
            </w:pPr>
            <w:r w:rsidRPr="00944C5D">
              <w:rPr>
                <w:rFonts w:ascii="Arial" w:hAnsi="Arial" w:cs="Arial"/>
                <w:sz w:val="16"/>
                <w:szCs w:val="16"/>
              </w:rPr>
              <w:t>Quels sont les sources et les défis de la croissance économique ?</w:t>
            </w:r>
          </w:p>
        </w:tc>
        <w:tc>
          <w:tcPr>
            <w:tcW w:w="12332" w:type="dxa"/>
            <w:tcBorders>
              <w:top w:val="single" w:sz="4" w:space="0" w:color="auto"/>
              <w:left w:val="single" w:sz="4" w:space="0" w:color="auto"/>
              <w:bottom w:val="single" w:sz="4" w:space="0" w:color="auto"/>
              <w:right w:val="single" w:sz="4" w:space="0" w:color="auto"/>
            </w:tcBorders>
            <w:hideMark/>
          </w:tcPr>
          <w:p w14:paraId="09D3A357" w14:textId="77777777" w:rsidR="00944C5D" w:rsidRPr="00944C5D" w:rsidRDefault="00944C5D">
            <w:pPr>
              <w:rPr>
                <w:rFonts w:ascii="Arial" w:hAnsi="Arial" w:cs="Arial"/>
                <w:sz w:val="16"/>
                <w:szCs w:val="16"/>
              </w:rPr>
            </w:pPr>
            <w:r w:rsidRPr="00944C5D">
              <w:rPr>
                <w:rFonts w:ascii="Arial" w:hAnsi="Arial" w:cs="Arial"/>
                <w:sz w:val="16"/>
                <w:szCs w:val="16"/>
              </w:rPr>
              <w:t>-Comprendre le processus de croissance économique et les sources de la croissance : accumulation des facteurs et accroissement de la productivité globale des facteurs ; comprendre le lien entre le progrès technique et l’accroissement de la productivité globale des facteurs</w:t>
            </w:r>
          </w:p>
          <w:p w14:paraId="172DE553" w14:textId="77777777" w:rsidR="00944C5D" w:rsidRPr="00944C5D" w:rsidRDefault="00944C5D">
            <w:pPr>
              <w:rPr>
                <w:rFonts w:ascii="Arial" w:hAnsi="Arial" w:cs="Arial"/>
                <w:sz w:val="16"/>
                <w:szCs w:val="16"/>
              </w:rPr>
            </w:pPr>
            <w:r w:rsidRPr="00944C5D">
              <w:rPr>
                <w:rFonts w:ascii="Arial" w:hAnsi="Arial" w:cs="Arial"/>
                <w:sz w:val="16"/>
                <w:szCs w:val="16"/>
              </w:rPr>
              <w:t>-Comprendre que le progrès technique est endogène et qu’il résulte en particulier de l’innovation</w:t>
            </w:r>
          </w:p>
          <w:p w14:paraId="56C354C7" w14:textId="77777777" w:rsidR="00944C5D" w:rsidRPr="00944C5D" w:rsidRDefault="00944C5D">
            <w:pPr>
              <w:rPr>
                <w:rFonts w:ascii="Arial" w:hAnsi="Arial" w:cs="Arial"/>
                <w:sz w:val="16"/>
                <w:szCs w:val="16"/>
              </w:rPr>
            </w:pPr>
            <w:proofErr w:type="gramStart"/>
            <w:r w:rsidRPr="00944C5D">
              <w:rPr>
                <w:rFonts w:ascii="Arial" w:hAnsi="Arial" w:cs="Arial"/>
                <w:sz w:val="16"/>
                <w:szCs w:val="16"/>
              </w:rPr>
              <w:t>.-</w:t>
            </w:r>
            <w:proofErr w:type="gramEnd"/>
            <w:r w:rsidRPr="00944C5D">
              <w:rPr>
                <w:rFonts w:ascii="Arial" w:hAnsi="Arial" w:cs="Arial"/>
                <w:sz w:val="16"/>
                <w:szCs w:val="16"/>
              </w:rPr>
              <w:t>Comprendre comment les institutions (notamment les droits de propriété) influent sur la croissance en affectant l’incitation à investir et innover; savoir que l’innovation s’accompagne d'un processus de destruction créatrice.</w:t>
            </w:r>
          </w:p>
          <w:p w14:paraId="1E9835E7" w14:textId="77777777" w:rsidR="00944C5D" w:rsidRPr="00944C5D" w:rsidRDefault="00944C5D">
            <w:pPr>
              <w:rPr>
                <w:rFonts w:ascii="Arial" w:hAnsi="Arial" w:cs="Arial"/>
                <w:sz w:val="16"/>
                <w:szCs w:val="16"/>
              </w:rPr>
            </w:pPr>
            <w:r w:rsidRPr="00944C5D">
              <w:rPr>
                <w:rFonts w:ascii="Arial" w:hAnsi="Arial" w:cs="Arial"/>
                <w:sz w:val="16"/>
                <w:szCs w:val="16"/>
              </w:rPr>
              <w:t>-Comprendre comment le progrès technique peut engendrer des inégalités de revenus</w:t>
            </w:r>
          </w:p>
          <w:p w14:paraId="5058B011" w14:textId="77777777" w:rsidR="00944C5D" w:rsidRPr="00944C5D" w:rsidRDefault="00944C5D">
            <w:pPr>
              <w:rPr>
                <w:rFonts w:ascii="Arial" w:hAnsi="Arial" w:cs="Arial"/>
                <w:sz w:val="16"/>
                <w:szCs w:val="16"/>
              </w:rPr>
            </w:pPr>
            <w:r w:rsidRPr="00944C5D">
              <w:rPr>
                <w:rFonts w:ascii="Arial" w:hAnsi="Arial" w:cs="Arial"/>
                <w:sz w:val="16"/>
                <w:szCs w:val="16"/>
              </w:rPr>
              <w:t>-Comprendre qu’une croissance économique soutenable se heurte à des limites écologiques (notamment l’épuisement des ressources, la pollution et le réchauffement climatique) et que l’innovation peut aider à reculer ces limites</w:t>
            </w:r>
          </w:p>
        </w:tc>
      </w:tr>
      <w:tr w:rsidR="00944C5D" w:rsidRPr="00944C5D" w14:paraId="497AC8DD" w14:textId="77777777" w:rsidTr="00944C5D">
        <w:tc>
          <w:tcPr>
            <w:tcW w:w="2689" w:type="dxa"/>
            <w:tcBorders>
              <w:top w:val="single" w:sz="4" w:space="0" w:color="auto"/>
              <w:left w:val="single" w:sz="4" w:space="0" w:color="auto"/>
              <w:bottom w:val="single" w:sz="4" w:space="0" w:color="auto"/>
              <w:right w:val="single" w:sz="4" w:space="0" w:color="auto"/>
            </w:tcBorders>
            <w:hideMark/>
          </w:tcPr>
          <w:p w14:paraId="16BADBE1" w14:textId="77777777" w:rsidR="00944C5D" w:rsidRPr="00944C5D" w:rsidRDefault="00944C5D">
            <w:pPr>
              <w:rPr>
                <w:rFonts w:ascii="Arial" w:hAnsi="Arial" w:cs="Arial"/>
                <w:sz w:val="16"/>
                <w:szCs w:val="16"/>
              </w:rPr>
            </w:pPr>
            <w:r w:rsidRPr="00944C5D">
              <w:rPr>
                <w:rFonts w:ascii="Arial" w:hAnsi="Arial" w:cs="Arial"/>
                <w:sz w:val="16"/>
                <w:szCs w:val="16"/>
              </w:rPr>
              <w:t>Quels sont les fondements du commerce international et de l’internationalisation de la production ?</w:t>
            </w:r>
          </w:p>
        </w:tc>
        <w:tc>
          <w:tcPr>
            <w:tcW w:w="12332" w:type="dxa"/>
            <w:tcBorders>
              <w:top w:val="single" w:sz="4" w:space="0" w:color="auto"/>
              <w:left w:val="single" w:sz="4" w:space="0" w:color="auto"/>
              <w:bottom w:val="single" w:sz="4" w:space="0" w:color="auto"/>
              <w:right w:val="single" w:sz="4" w:space="0" w:color="auto"/>
            </w:tcBorders>
            <w:hideMark/>
          </w:tcPr>
          <w:p w14:paraId="19920FF2" w14:textId="77777777" w:rsidR="00944C5D" w:rsidRPr="00944C5D" w:rsidRDefault="00944C5D">
            <w:pPr>
              <w:rPr>
                <w:rFonts w:ascii="Arial" w:hAnsi="Arial" w:cs="Arial"/>
                <w:sz w:val="16"/>
                <w:szCs w:val="16"/>
              </w:rPr>
            </w:pPr>
            <w:r w:rsidRPr="00944C5D">
              <w:rPr>
                <w:rFonts w:ascii="Arial" w:hAnsi="Arial" w:cs="Arial"/>
                <w:sz w:val="16"/>
                <w:szCs w:val="16"/>
              </w:rPr>
              <w:t>-Comprendre le rôle des dotations factorielles et technologique (avantages comparatifs) dans les échanges commerciaux et la spécialisation internationale.</w:t>
            </w:r>
          </w:p>
          <w:p w14:paraId="137A7C27" w14:textId="77777777" w:rsidR="00944C5D" w:rsidRPr="00944C5D" w:rsidRDefault="00944C5D">
            <w:pPr>
              <w:rPr>
                <w:rFonts w:ascii="Arial" w:hAnsi="Arial" w:cs="Arial"/>
                <w:sz w:val="16"/>
                <w:szCs w:val="16"/>
              </w:rPr>
            </w:pPr>
            <w:r w:rsidRPr="00944C5D">
              <w:rPr>
                <w:rFonts w:ascii="Arial" w:hAnsi="Arial" w:cs="Arial"/>
                <w:sz w:val="16"/>
                <w:szCs w:val="16"/>
              </w:rPr>
              <w:t>-Comprendre le commerce entre pays comparables (différenciation des produits, qualité des produits, et fragmentation de la chaîne de valeur).</w:t>
            </w:r>
          </w:p>
          <w:p w14:paraId="5CF99159" w14:textId="77777777" w:rsidR="00944C5D" w:rsidRPr="00944C5D" w:rsidRDefault="00944C5D">
            <w:pPr>
              <w:rPr>
                <w:rFonts w:ascii="Arial" w:hAnsi="Arial" w:cs="Arial"/>
                <w:sz w:val="16"/>
                <w:szCs w:val="16"/>
              </w:rPr>
            </w:pPr>
            <w:r w:rsidRPr="00944C5D">
              <w:rPr>
                <w:rFonts w:ascii="Arial" w:hAnsi="Arial" w:cs="Arial"/>
                <w:sz w:val="16"/>
                <w:szCs w:val="16"/>
              </w:rPr>
              <w:t>-Comprendre que la productivité des firmes sous-tend la compétitivité d’un pays, c’est-à-dire son aptitude à exporter.</w:t>
            </w:r>
          </w:p>
          <w:p w14:paraId="6D49F179" w14:textId="77777777" w:rsidR="00944C5D" w:rsidRPr="00944C5D" w:rsidRDefault="00944C5D">
            <w:pPr>
              <w:rPr>
                <w:rFonts w:ascii="Arial" w:hAnsi="Arial" w:cs="Arial"/>
                <w:sz w:val="16"/>
                <w:szCs w:val="16"/>
              </w:rPr>
            </w:pPr>
            <w:r w:rsidRPr="00944C5D">
              <w:rPr>
                <w:rFonts w:ascii="Arial" w:hAnsi="Arial" w:cs="Arial"/>
                <w:sz w:val="16"/>
                <w:szCs w:val="16"/>
              </w:rPr>
              <w:t>-Comprendre l’internationalisation de la chaîne de valeur et savoir l’illustrer.</w:t>
            </w:r>
          </w:p>
          <w:p w14:paraId="48C1AF9C" w14:textId="77777777" w:rsidR="00944C5D" w:rsidRPr="00944C5D" w:rsidRDefault="00944C5D">
            <w:pPr>
              <w:rPr>
                <w:rFonts w:ascii="Arial" w:hAnsi="Arial" w:cs="Arial"/>
                <w:sz w:val="16"/>
                <w:szCs w:val="16"/>
              </w:rPr>
            </w:pPr>
            <w:r w:rsidRPr="00944C5D">
              <w:rPr>
                <w:rFonts w:ascii="Arial" w:hAnsi="Arial" w:cs="Arial"/>
                <w:sz w:val="16"/>
                <w:szCs w:val="16"/>
              </w:rPr>
              <w:t>-Comprendre les effets induits par le commerce international : gains moyens en termes de baisse de prix, réduction des inégalités entre pays, accroissement des inégalités de revenus au sein de chaque pays ; comprendre les termes du débat entre libre-échange et protectionnisme.</w:t>
            </w:r>
          </w:p>
        </w:tc>
      </w:tr>
    </w:tbl>
    <w:tbl>
      <w:tblPr>
        <w:tblStyle w:val="Grilledutableau1"/>
        <w:tblW w:w="10485" w:type="dxa"/>
        <w:tblInd w:w="0" w:type="dxa"/>
        <w:tblLook w:val="04A0" w:firstRow="1" w:lastRow="0" w:firstColumn="1" w:lastColumn="0" w:noHBand="0" w:noVBand="1"/>
      </w:tblPr>
      <w:tblGrid>
        <w:gridCol w:w="2263"/>
        <w:gridCol w:w="8222"/>
      </w:tblGrid>
      <w:tr w:rsidR="00944C5D" w:rsidRPr="00944C5D" w14:paraId="79C2B728" w14:textId="77777777" w:rsidTr="001F2FCF">
        <w:tc>
          <w:tcPr>
            <w:tcW w:w="2263" w:type="dxa"/>
            <w:tcBorders>
              <w:top w:val="single" w:sz="4" w:space="0" w:color="auto"/>
              <w:left w:val="single" w:sz="4" w:space="0" w:color="auto"/>
              <w:bottom w:val="single" w:sz="4" w:space="0" w:color="auto"/>
              <w:right w:val="single" w:sz="4" w:space="0" w:color="auto"/>
            </w:tcBorders>
            <w:hideMark/>
          </w:tcPr>
          <w:p w14:paraId="191BA5DE" w14:textId="77777777" w:rsidR="00944C5D" w:rsidRPr="00944C5D" w:rsidRDefault="00944C5D">
            <w:pPr>
              <w:rPr>
                <w:rFonts w:ascii="Arial" w:hAnsi="Arial" w:cs="Arial"/>
                <w:sz w:val="16"/>
                <w:szCs w:val="16"/>
              </w:rPr>
            </w:pPr>
            <w:r w:rsidRPr="00944C5D">
              <w:rPr>
                <w:rFonts w:ascii="Arial" w:hAnsi="Arial" w:cs="Arial"/>
                <w:sz w:val="16"/>
                <w:szCs w:val="16"/>
              </w:rPr>
              <w:t xml:space="preserve">Quelles politiques économiques dans le cadre </w:t>
            </w:r>
            <w:proofErr w:type="gramStart"/>
            <w:r w:rsidRPr="00944C5D">
              <w:rPr>
                <w:rFonts w:ascii="Arial" w:hAnsi="Arial" w:cs="Arial"/>
                <w:sz w:val="16"/>
                <w:szCs w:val="16"/>
              </w:rPr>
              <w:t>européen?</w:t>
            </w:r>
            <w:proofErr w:type="gramEnd"/>
          </w:p>
        </w:tc>
        <w:tc>
          <w:tcPr>
            <w:tcW w:w="8222" w:type="dxa"/>
            <w:tcBorders>
              <w:top w:val="single" w:sz="4" w:space="0" w:color="auto"/>
              <w:left w:val="single" w:sz="4" w:space="0" w:color="auto"/>
              <w:bottom w:val="single" w:sz="4" w:space="0" w:color="auto"/>
              <w:right w:val="single" w:sz="4" w:space="0" w:color="auto"/>
            </w:tcBorders>
            <w:hideMark/>
          </w:tcPr>
          <w:p w14:paraId="54B6F2F0" w14:textId="77777777" w:rsidR="00944C5D" w:rsidRPr="00944C5D" w:rsidRDefault="00944C5D">
            <w:pPr>
              <w:rPr>
                <w:rFonts w:ascii="Arial" w:hAnsi="Arial" w:cs="Arial"/>
                <w:sz w:val="16"/>
                <w:szCs w:val="16"/>
              </w:rPr>
            </w:pPr>
            <w:r w:rsidRPr="00944C5D">
              <w:rPr>
                <w:rFonts w:ascii="Arial" w:hAnsi="Arial" w:cs="Arial"/>
                <w:sz w:val="16"/>
                <w:szCs w:val="16"/>
              </w:rPr>
              <w:t>-Connaître les grandes caractéristiques de l’intégration européenne (marché unique et zone euro) ; comprendre les effets du marché unique sur la croissance</w:t>
            </w:r>
          </w:p>
          <w:p w14:paraId="0992D15C" w14:textId="77777777" w:rsidR="00944C5D" w:rsidRPr="00944C5D" w:rsidRDefault="00944C5D">
            <w:pPr>
              <w:rPr>
                <w:rFonts w:ascii="Arial" w:hAnsi="Arial" w:cs="Arial"/>
                <w:sz w:val="16"/>
                <w:szCs w:val="16"/>
              </w:rPr>
            </w:pPr>
            <w:proofErr w:type="gramStart"/>
            <w:r w:rsidRPr="00944C5D">
              <w:rPr>
                <w:rFonts w:ascii="Arial" w:hAnsi="Arial" w:cs="Arial"/>
                <w:sz w:val="16"/>
                <w:szCs w:val="16"/>
              </w:rPr>
              <w:t>.-</w:t>
            </w:r>
            <w:proofErr w:type="gramEnd"/>
            <w:r w:rsidRPr="00944C5D">
              <w:rPr>
                <w:rFonts w:ascii="Arial" w:hAnsi="Arial" w:cs="Arial"/>
                <w:sz w:val="16"/>
                <w:szCs w:val="16"/>
              </w:rPr>
              <w:t>Comprendre les objectifs, les modalités et les limites de la politique européenne de la concurrence.</w:t>
            </w:r>
          </w:p>
          <w:p w14:paraId="607666AD" w14:textId="77777777" w:rsidR="00944C5D" w:rsidRPr="00944C5D" w:rsidRDefault="00944C5D">
            <w:pPr>
              <w:rPr>
                <w:rFonts w:ascii="Arial" w:hAnsi="Arial" w:cs="Arial"/>
                <w:sz w:val="16"/>
                <w:szCs w:val="16"/>
              </w:rPr>
            </w:pPr>
            <w:r w:rsidRPr="00944C5D">
              <w:rPr>
                <w:rFonts w:ascii="Arial" w:hAnsi="Arial" w:cs="Arial"/>
                <w:sz w:val="16"/>
                <w:szCs w:val="16"/>
              </w:rPr>
              <w:t>-Comprendre comment la politique monétaire et la politique budgétaire agissent sur la conjoncture</w:t>
            </w:r>
          </w:p>
          <w:p w14:paraId="394DD3CA" w14:textId="77777777" w:rsidR="00944C5D" w:rsidRPr="00944C5D" w:rsidRDefault="00944C5D">
            <w:pPr>
              <w:rPr>
                <w:rFonts w:ascii="Arial" w:hAnsi="Arial" w:cs="Arial"/>
                <w:sz w:val="16"/>
                <w:szCs w:val="16"/>
              </w:rPr>
            </w:pPr>
            <w:r w:rsidRPr="00944C5D">
              <w:rPr>
                <w:rFonts w:ascii="Arial" w:hAnsi="Arial" w:cs="Arial"/>
                <w:sz w:val="16"/>
                <w:szCs w:val="16"/>
              </w:rPr>
              <w:t>-Savoir que la politique monétaire dans la zone euro, conduite de façon indépendante par la Banque centrale européenne, est unique alors que la politique budgétaire est du ressort de chaque pays membre mais contrainte par les traités européens ; comprendre les difficultés soulevées par cette situation (défaut de coordination, chocs asymétriques).</w:t>
            </w:r>
          </w:p>
        </w:tc>
      </w:tr>
      <w:tr w:rsidR="00944C5D" w:rsidRPr="00944C5D" w14:paraId="285820AE" w14:textId="77777777" w:rsidTr="001F2FCF">
        <w:tc>
          <w:tcPr>
            <w:tcW w:w="10485" w:type="dxa"/>
            <w:gridSpan w:val="2"/>
            <w:tcBorders>
              <w:top w:val="single" w:sz="4" w:space="0" w:color="auto"/>
              <w:left w:val="single" w:sz="4" w:space="0" w:color="auto"/>
              <w:bottom w:val="single" w:sz="4" w:space="0" w:color="auto"/>
              <w:right w:val="single" w:sz="4" w:space="0" w:color="auto"/>
            </w:tcBorders>
            <w:hideMark/>
          </w:tcPr>
          <w:p w14:paraId="3DF98460" w14:textId="77777777" w:rsidR="00944C5D" w:rsidRPr="00944C5D" w:rsidRDefault="00944C5D">
            <w:pPr>
              <w:jc w:val="center"/>
              <w:rPr>
                <w:rFonts w:ascii="Arial" w:hAnsi="Arial" w:cs="Arial"/>
                <w:b/>
                <w:bCs/>
                <w:sz w:val="16"/>
                <w:szCs w:val="16"/>
              </w:rPr>
            </w:pPr>
            <w:r w:rsidRPr="00944C5D">
              <w:rPr>
                <w:rFonts w:ascii="Arial" w:hAnsi="Arial" w:cs="Arial"/>
                <w:b/>
                <w:bCs/>
                <w:sz w:val="16"/>
                <w:szCs w:val="16"/>
              </w:rPr>
              <w:t>Partie sociologie et science politique</w:t>
            </w:r>
          </w:p>
        </w:tc>
      </w:tr>
      <w:tr w:rsidR="00944C5D" w:rsidRPr="00944C5D" w14:paraId="08AD8486" w14:textId="77777777" w:rsidTr="001F2FCF">
        <w:tc>
          <w:tcPr>
            <w:tcW w:w="2263" w:type="dxa"/>
            <w:tcBorders>
              <w:top w:val="single" w:sz="4" w:space="0" w:color="auto"/>
              <w:left w:val="single" w:sz="4" w:space="0" w:color="auto"/>
              <w:bottom w:val="single" w:sz="4" w:space="0" w:color="auto"/>
              <w:right w:val="single" w:sz="4" w:space="0" w:color="auto"/>
            </w:tcBorders>
            <w:hideMark/>
          </w:tcPr>
          <w:p w14:paraId="57EA89D4" w14:textId="77777777" w:rsidR="00944C5D" w:rsidRPr="00944C5D" w:rsidRDefault="00944C5D">
            <w:pPr>
              <w:rPr>
                <w:rFonts w:ascii="Arial" w:hAnsi="Arial" w:cs="Arial"/>
                <w:sz w:val="16"/>
                <w:szCs w:val="16"/>
              </w:rPr>
            </w:pPr>
            <w:r w:rsidRPr="00944C5D">
              <w:rPr>
                <w:rFonts w:ascii="Arial" w:hAnsi="Arial" w:cs="Arial"/>
                <w:sz w:val="16"/>
                <w:szCs w:val="16"/>
              </w:rPr>
              <w:t>Comment est structurée la société française actuelle ?</w:t>
            </w:r>
          </w:p>
        </w:tc>
        <w:tc>
          <w:tcPr>
            <w:tcW w:w="8222" w:type="dxa"/>
            <w:tcBorders>
              <w:top w:val="single" w:sz="4" w:space="0" w:color="auto"/>
              <w:left w:val="single" w:sz="4" w:space="0" w:color="auto"/>
              <w:bottom w:val="single" w:sz="4" w:space="0" w:color="auto"/>
              <w:right w:val="single" w:sz="4" w:space="0" w:color="auto"/>
            </w:tcBorders>
            <w:hideMark/>
          </w:tcPr>
          <w:p w14:paraId="5BB662F4" w14:textId="77777777" w:rsidR="00944C5D" w:rsidRPr="00944C5D" w:rsidRDefault="00944C5D">
            <w:pPr>
              <w:rPr>
                <w:rFonts w:ascii="Arial" w:hAnsi="Arial" w:cs="Arial"/>
                <w:sz w:val="16"/>
                <w:szCs w:val="16"/>
              </w:rPr>
            </w:pPr>
            <w:r w:rsidRPr="00944C5D">
              <w:rPr>
                <w:rFonts w:ascii="Arial" w:hAnsi="Arial" w:cs="Arial"/>
                <w:sz w:val="16"/>
                <w:szCs w:val="16"/>
              </w:rPr>
              <w:t>-Savoir identifier les multiples facteurs de structuration et de hiérarchisation de l’espace social (catégorie socioprofessionnelle, revenu, diplôme, composition du ménage, position dans le cycle de vie, sexe, lieu de résidence).</w:t>
            </w:r>
          </w:p>
          <w:p w14:paraId="7EFF1BC7" w14:textId="77777777" w:rsidR="00944C5D" w:rsidRPr="00944C5D" w:rsidRDefault="00944C5D">
            <w:pPr>
              <w:rPr>
                <w:rFonts w:ascii="Arial" w:hAnsi="Arial" w:cs="Arial"/>
                <w:sz w:val="16"/>
                <w:szCs w:val="16"/>
              </w:rPr>
            </w:pPr>
            <w:r w:rsidRPr="00944C5D">
              <w:rPr>
                <w:rFonts w:ascii="Arial" w:hAnsi="Arial" w:cs="Arial"/>
                <w:sz w:val="16"/>
                <w:szCs w:val="16"/>
              </w:rPr>
              <w:t>-Comprendre les principales évolutions de la structure socioprofessionnelle en France depuis la seconde moitié du XXe siècle (salarisation, tertiarisation, élévation du niveau de qualification, féminisation des emplois).</w:t>
            </w:r>
          </w:p>
          <w:p w14:paraId="1BD9AC23" w14:textId="77777777" w:rsidR="00944C5D" w:rsidRPr="00944C5D" w:rsidRDefault="00944C5D">
            <w:pPr>
              <w:rPr>
                <w:rFonts w:ascii="Arial" w:hAnsi="Arial" w:cs="Arial"/>
                <w:sz w:val="16"/>
                <w:szCs w:val="16"/>
              </w:rPr>
            </w:pPr>
            <w:r w:rsidRPr="00944C5D">
              <w:rPr>
                <w:rFonts w:ascii="Arial" w:hAnsi="Arial" w:cs="Arial"/>
                <w:sz w:val="16"/>
                <w:szCs w:val="16"/>
              </w:rPr>
              <w:t xml:space="preserve">-Connaître les théories des classes et de la stratification sociale dans la tradition sociologique (Marx, Weber) ; comprendre que la pertinence d’une approche en termes de classes sociales pour rendre compte de la société française fait l’objet de débats théoriques et statistiques : évolution des distances </w:t>
            </w:r>
            <w:proofErr w:type="spellStart"/>
            <w:r w:rsidRPr="00944C5D">
              <w:rPr>
                <w:rFonts w:ascii="Arial" w:hAnsi="Arial" w:cs="Arial"/>
                <w:sz w:val="16"/>
                <w:szCs w:val="16"/>
              </w:rPr>
              <w:t>inter-et</w:t>
            </w:r>
            <w:proofErr w:type="spellEnd"/>
            <w:r w:rsidRPr="00944C5D">
              <w:rPr>
                <w:rFonts w:ascii="Arial" w:hAnsi="Arial" w:cs="Arial"/>
                <w:sz w:val="16"/>
                <w:szCs w:val="16"/>
              </w:rPr>
              <w:t xml:space="preserve"> </w:t>
            </w:r>
            <w:proofErr w:type="spellStart"/>
            <w:r w:rsidRPr="00944C5D">
              <w:rPr>
                <w:rFonts w:ascii="Arial" w:hAnsi="Arial" w:cs="Arial"/>
                <w:sz w:val="16"/>
                <w:szCs w:val="16"/>
              </w:rPr>
              <w:t>intra-classes</w:t>
            </w:r>
            <w:proofErr w:type="spellEnd"/>
            <w:r w:rsidRPr="00944C5D">
              <w:rPr>
                <w:rFonts w:ascii="Arial" w:hAnsi="Arial" w:cs="Arial"/>
                <w:sz w:val="16"/>
                <w:szCs w:val="16"/>
              </w:rPr>
              <w:t>, articulation avec les rapports sociaux de genre, identifications subjectives à un groupe social, multiplication des facteurs d’individualisation.</w:t>
            </w:r>
          </w:p>
        </w:tc>
      </w:tr>
    </w:tbl>
    <w:tbl>
      <w:tblPr>
        <w:tblStyle w:val="Grilledutableau2"/>
        <w:tblW w:w="0" w:type="auto"/>
        <w:tblInd w:w="0" w:type="dxa"/>
        <w:tblLook w:val="04A0" w:firstRow="1" w:lastRow="0" w:firstColumn="1" w:lastColumn="0" w:noHBand="0" w:noVBand="1"/>
      </w:tblPr>
      <w:tblGrid>
        <w:gridCol w:w="2263"/>
        <w:gridCol w:w="8193"/>
      </w:tblGrid>
      <w:tr w:rsidR="001F2FCF" w:rsidRPr="001F2FCF" w14:paraId="11B4FCD9" w14:textId="77777777" w:rsidTr="001F2FCF">
        <w:tc>
          <w:tcPr>
            <w:tcW w:w="2263" w:type="dxa"/>
            <w:tcBorders>
              <w:top w:val="single" w:sz="4" w:space="0" w:color="auto"/>
              <w:left w:val="single" w:sz="4" w:space="0" w:color="auto"/>
              <w:bottom w:val="single" w:sz="4" w:space="0" w:color="auto"/>
              <w:right w:val="single" w:sz="4" w:space="0" w:color="auto"/>
            </w:tcBorders>
            <w:hideMark/>
          </w:tcPr>
          <w:p w14:paraId="41C45A3F" w14:textId="77777777" w:rsidR="001F2FCF" w:rsidRPr="001F2FCF" w:rsidRDefault="001F2FCF">
            <w:pPr>
              <w:rPr>
                <w:rFonts w:ascii="Arial" w:hAnsi="Arial" w:cs="Arial"/>
                <w:sz w:val="16"/>
                <w:szCs w:val="16"/>
              </w:rPr>
            </w:pPr>
            <w:r w:rsidRPr="001F2FCF">
              <w:rPr>
                <w:rFonts w:ascii="Arial" w:hAnsi="Arial" w:cs="Arial"/>
                <w:sz w:val="16"/>
                <w:szCs w:val="16"/>
              </w:rPr>
              <w:t>Quelles mutations du travail et de l’emploi ?</w:t>
            </w:r>
          </w:p>
        </w:tc>
        <w:tc>
          <w:tcPr>
            <w:tcW w:w="8193" w:type="dxa"/>
            <w:tcBorders>
              <w:top w:val="single" w:sz="4" w:space="0" w:color="auto"/>
              <w:left w:val="single" w:sz="4" w:space="0" w:color="auto"/>
              <w:bottom w:val="single" w:sz="4" w:space="0" w:color="auto"/>
              <w:right w:val="single" w:sz="4" w:space="0" w:color="auto"/>
            </w:tcBorders>
            <w:hideMark/>
          </w:tcPr>
          <w:p w14:paraId="24C6ED5E" w14:textId="77777777" w:rsidR="001F2FCF" w:rsidRPr="001F2FCF" w:rsidRDefault="001F2FCF">
            <w:pPr>
              <w:rPr>
                <w:rFonts w:ascii="Arial" w:hAnsi="Arial" w:cs="Arial"/>
                <w:sz w:val="16"/>
                <w:szCs w:val="16"/>
              </w:rPr>
            </w:pPr>
            <w:r w:rsidRPr="001F2FCF">
              <w:rPr>
                <w:rFonts w:ascii="Arial" w:hAnsi="Arial" w:cs="Arial"/>
                <w:sz w:val="16"/>
                <w:szCs w:val="16"/>
              </w:rPr>
              <w:t>-Savoir distinguer les notions de travail, activité, statut d’emploi (salarié, non-salarié), chômage ; comprendre que les évolutions des formes d’emploi rendent plus incertaines les frontières entre emploi, chômage et inactivité.</w:t>
            </w:r>
          </w:p>
          <w:p w14:paraId="7E8CF7C0" w14:textId="77777777" w:rsidR="001F2FCF" w:rsidRPr="001F2FCF" w:rsidRDefault="001F2FCF">
            <w:pPr>
              <w:rPr>
                <w:rFonts w:ascii="Arial" w:hAnsi="Arial" w:cs="Arial"/>
                <w:sz w:val="16"/>
                <w:szCs w:val="16"/>
              </w:rPr>
            </w:pPr>
            <w:r w:rsidRPr="001F2FCF">
              <w:rPr>
                <w:rFonts w:ascii="Arial" w:hAnsi="Arial" w:cs="Arial"/>
                <w:sz w:val="16"/>
                <w:szCs w:val="16"/>
              </w:rPr>
              <w:t>-Connaître les principaux descripteurs de la qualité des emplois (conditions de travail, niveau de salaire, sécurité économique, horizon de carrière, potentiel de formation, variété des tâches).</w:t>
            </w:r>
          </w:p>
          <w:p w14:paraId="01098155" w14:textId="77777777" w:rsidR="001F2FCF" w:rsidRPr="001F2FCF" w:rsidRDefault="001F2FCF">
            <w:pPr>
              <w:rPr>
                <w:rFonts w:ascii="Arial" w:hAnsi="Arial" w:cs="Arial"/>
                <w:sz w:val="16"/>
                <w:szCs w:val="16"/>
              </w:rPr>
            </w:pPr>
            <w:r w:rsidRPr="001F2FCF">
              <w:rPr>
                <w:rFonts w:ascii="Arial" w:hAnsi="Arial" w:cs="Arial"/>
                <w:sz w:val="16"/>
                <w:szCs w:val="16"/>
              </w:rPr>
              <w:t>-Comprendre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w:t>
            </w:r>
          </w:p>
          <w:p w14:paraId="64B341AA" w14:textId="77777777" w:rsidR="001F2FCF" w:rsidRPr="001F2FCF" w:rsidRDefault="001F2FCF">
            <w:pPr>
              <w:rPr>
                <w:rFonts w:ascii="Arial" w:hAnsi="Arial" w:cs="Arial"/>
                <w:sz w:val="16"/>
                <w:szCs w:val="16"/>
              </w:rPr>
            </w:pPr>
            <w:r w:rsidRPr="001F2FCF">
              <w:rPr>
                <w:rFonts w:ascii="Arial" w:hAnsi="Arial" w:cs="Arial"/>
                <w:sz w:val="16"/>
                <w:szCs w:val="16"/>
              </w:rPr>
              <w:t>-Comprendre comment le numérique brouille les frontières du travail (télétravail, travail/hors travail), transforme les relations d’emploi et accroît les risques de polarisation des emplois.</w:t>
            </w:r>
          </w:p>
          <w:p w14:paraId="4BEB01E8" w14:textId="77777777" w:rsidR="001F2FCF" w:rsidRPr="001F2FCF" w:rsidRDefault="001F2FCF">
            <w:pPr>
              <w:rPr>
                <w:rFonts w:ascii="Arial" w:hAnsi="Arial" w:cs="Arial"/>
                <w:sz w:val="16"/>
                <w:szCs w:val="16"/>
              </w:rPr>
            </w:pPr>
            <w:r w:rsidRPr="001F2FCF">
              <w:rPr>
                <w:rFonts w:ascii="Arial" w:hAnsi="Arial" w:cs="Arial"/>
                <w:sz w:val="16"/>
                <w:szCs w:val="16"/>
              </w:rPr>
              <w:t>-Comprendre que le travail est source d’intégration sociale et que certaines évolutions de l’emploi (précarisation, taux persistant de chômage élevé, polarisation de la qualité des emplois) peuvent affaiblir ce pouvoir intégrateur</w:t>
            </w:r>
          </w:p>
        </w:tc>
      </w:tr>
      <w:tr w:rsidR="001F2FCF" w:rsidRPr="001F2FCF" w14:paraId="3995378D" w14:textId="77777777" w:rsidTr="001F2FCF">
        <w:tc>
          <w:tcPr>
            <w:tcW w:w="2263" w:type="dxa"/>
            <w:tcBorders>
              <w:top w:val="single" w:sz="4" w:space="0" w:color="auto"/>
              <w:left w:val="single" w:sz="4" w:space="0" w:color="auto"/>
              <w:bottom w:val="single" w:sz="4" w:space="0" w:color="auto"/>
              <w:right w:val="single" w:sz="4" w:space="0" w:color="auto"/>
            </w:tcBorders>
            <w:hideMark/>
          </w:tcPr>
          <w:p w14:paraId="6754C2F5" w14:textId="77777777" w:rsidR="001F2FCF" w:rsidRPr="001F2FCF" w:rsidRDefault="001F2FCF">
            <w:pPr>
              <w:rPr>
                <w:rFonts w:ascii="Arial" w:hAnsi="Arial" w:cs="Arial"/>
                <w:b/>
                <w:bCs/>
                <w:sz w:val="16"/>
                <w:szCs w:val="16"/>
              </w:rPr>
            </w:pPr>
            <w:r w:rsidRPr="001F2FCF">
              <w:rPr>
                <w:rFonts w:ascii="Arial" w:hAnsi="Arial" w:cs="Arial"/>
                <w:b/>
                <w:bCs/>
                <w:sz w:val="16"/>
                <w:szCs w:val="16"/>
              </w:rPr>
              <w:t>Comment expliquer l’engagement politique dans les sociétés démocratiques ?</w:t>
            </w:r>
          </w:p>
        </w:tc>
        <w:tc>
          <w:tcPr>
            <w:tcW w:w="8193" w:type="dxa"/>
            <w:tcBorders>
              <w:top w:val="single" w:sz="4" w:space="0" w:color="auto"/>
              <w:left w:val="single" w:sz="4" w:space="0" w:color="auto"/>
              <w:bottom w:val="single" w:sz="4" w:space="0" w:color="auto"/>
              <w:right w:val="single" w:sz="4" w:space="0" w:color="auto"/>
            </w:tcBorders>
            <w:hideMark/>
          </w:tcPr>
          <w:p w14:paraId="39C81EB3" w14:textId="77777777" w:rsidR="001F2FCF" w:rsidRPr="001F2FCF" w:rsidRDefault="001F2FCF">
            <w:pPr>
              <w:rPr>
                <w:rFonts w:ascii="Arial" w:hAnsi="Arial" w:cs="Arial"/>
                <w:sz w:val="16"/>
                <w:szCs w:val="16"/>
              </w:rPr>
            </w:pPr>
            <w:r w:rsidRPr="001F2FCF">
              <w:rPr>
                <w:rFonts w:ascii="Arial" w:hAnsi="Arial" w:cs="Arial"/>
                <w:sz w:val="16"/>
                <w:szCs w:val="16"/>
              </w:rPr>
              <w:t>-Comprendre que l’engagement politique prend des formes variées (vote, militantisme, engagement associatif, consommation engagée</w:t>
            </w:r>
            <w:proofErr w:type="gramStart"/>
            <w:r w:rsidRPr="001F2FCF">
              <w:rPr>
                <w:rFonts w:ascii="Arial" w:hAnsi="Arial" w:cs="Arial"/>
                <w:sz w:val="16"/>
                <w:szCs w:val="16"/>
              </w:rPr>
              <w:t>).-</w:t>
            </w:r>
            <w:proofErr w:type="gramEnd"/>
            <w:r w:rsidRPr="001F2FCF">
              <w:rPr>
                <w:rFonts w:ascii="Arial" w:hAnsi="Arial" w:cs="Arial"/>
                <w:sz w:val="16"/>
                <w:szCs w:val="16"/>
              </w:rPr>
              <w:t>Comprendre pourquoi, malgré le paradoxe de l’action collective, les individus s’engagent (incitations sélectives, rétributions symboliques, structure des opportunités politiques).</w:t>
            </w:r>
          </w:p>
          <w:p w14:paraId="4D4E8FDE" w14:textId="77777777" w:rsidR="001F2FCF" w:rsidRPr="001F2FCF" w:rsidRDefault="001F2FCF">
            <w:pPr>
              <w:rPr>
                <w:rFonts w:ascii="Arial" w:hAnsi="Arial" w:cs="Arial"/>
                <w:sz w:val="16"/>
                <w:szCs w:val="16"/>
              </w:rPr>
            </w:pPr>
            <w:r w:rsidRPr="001F2FCF">
              <w:rPr>
                <w:rFonts w:ascii="Arial" w:hAnsi="Arial" w:cs="Arial"/>
                <w:sz w:val="16"/>
                <w:szCs w:val="16"/>
              </w:rPr>
              <w:t>-Comprendre que l’engagement politique dépend notamment de variables sociodémographiques (catégorie socioprofessionnelle, diplôme, âge et génération, sexe).</w:t>
            </w:r>
          </w:p>
          <w:p w14:paraId="59F2257E" w14:textId="77777777" w:rsidR="001F2FCF" w:rsidRPr="001F2FCF" w:rsidRDefault="001F2FCF">
            <w:pPr>
              <w:rPr>
                <w:rFonts w:ascii="Arial" w:hAnsi="Arial" w:cs="Arial"/>
                <w:sz w:val="16"/>
                <w:szCs w:val="16"/>
              </w:rPr>
            </w:pPr>
            <w:r w:rsidRPr="001F2FCF">
              <w:rPr>
                <w:rFonts w:ascii="Arial" w:hAnsi="Arial" w:cs="Arial"/>
                <w:sz w:val="16"/>
                <w:szCs w:val="16"/>
              </w:rPr>
              <w:t>-Comprendre la diversité et les transformations des objets de l’action collective (conflits du travail, nouveaux enjeux de mobilisation, luttes minoritaires), des acteurs (partis politiques, syndicats, associations, groupements) et de leurs répertoires</w:t>
            </w:r>
          </w:p>
        </w:tc>
      </w:tr>
      <w:tr w:rsidR="001F2FCF" w:rsidRPr="001F2FCF" w14:paraId="6C2FE12E" w14:textId="77777777" w:rsidTr="001F2FCF">
        <w:tc>
          <w:tcPr>
            <w:tcW w:w="10456" w:type="dxa"/>
            <w:gridSpan w:val="2"/>
            <w:tcBorders>
              <w:top w:val="single" w:sz="4" w:space="0" w:color="auto"/>
              <w:left w:val="single" w:sz="4" w:space="0" w:color="auto"/>
              <w:bottom w:val="single" w:sz="4" w:space="0" w:color="auto"/>
              <w:right w:val="single" w:sz="4" w:space="0" w:color="auto"/>
            </w:tcBorders>
            <w:hideMark/>
          </w:tcPr>
          <w:p w14:paraId="2C8101D4" w14:textId="77777777" w:rsidR="001F2FCF" w:rsidRPr="001F2FCF" w:rsidRDefault="001F2FCF">
            <w:pPr>
              <w:jc w:val="center"/>
              <w:rPr>
                <w:rFonts w:ascii="Arial" w:hAnsi="Arial" w:cs="Arial"/>
                <w:b/>
                <w:bCs/>
                <w:sz w:val="16"/>
                <w:szCs w:val="16"/>
              </w:rPr>
            </w:pPr>
            <w:r w:rsidRPr="001F2FCF">
              <w:rPr>
                <w:rFonts w:ascii="Arial" w:hAnsi="Arial" w:cs="Arial"/>
                <w:b/>
                <w:bCs/>
                <w:sz w:val="16"/>
                <w:szCs w:val="16"/>
              </w:rPr>
              <w:t>Regards croisés</w:t>
            </w:r>
          </w:p>
        </w:tc>
      </w:tr>
      <w:tr w:rsidR="001F2FCF" w:rsidRPr="001F2FCF" w14:paraId="7A520861" w14:textId="77777777" w:rsidTr="001F2FCF">
        <w:tc>
          <w:tcPr>
            <w:tcW w:w="2263" w:type="dxa"/>
            <w:tcBorders>
              <w:top w:val="single" w:sz="4" w:space="0" w:color="auto"/>
              <w:left w:val="single" w:sz="4" w:space="0" w:color="auto"/>
              <w:bottom w:val="single" w:sz="4" w:space="0" w:color="auto"/>
              <w:right w:val="single" w:sz="4" w:space="0" w:color="auto"/>
            </w:tcBorders>
            <w:hideMark/>
          </w:tcPr>
          <w:p w14:paraId="03DE8046" w14:textId="77777777" w:rsidR="001F2FCF" w:rsidRPr="001F2FCF" w:rsidRDefault="001F2FCF">
            <w:pPr>
              <w:rPr>
                <w:rFonts w:ascii="Arial" w:hAnsi="Arial" w:cs="Arial"/>
                <w:sz w:val="16"/>
                <w:szCs w:val="16"/>
              </w:rPr>
            </w:pPr>
            <w:r w:rsidRPr="001F2FCF">
              <w:rPr>
                <w:rFonts w:ascii="Arial" w:hAnsi="Arial" w:cs="Arial"/>
                <w:sz w:val="16"/>
                <w:szCs w:val="16"/>
              </w:rPr>
              <w:t>Quelles inégalités sont compatibles avec les différentes conceptions de la justice sociale ?</w:t>
            </w:r>
          </w:p>
        </w:tc>
        <w:tc>
          <w:tcPr>
            <w:tcW w:w="8193" w:type="dxa"/>
            <w:tcBorders>
              <w:top w:val="single" w:sz="4" w:space="0" w:color="auto"/>
              <w:left w:val="single" w:sz="4" w:space="0" w:color="auto"/>
              <w:bottom w:val="single" w:sz="4" w:space="0" w:color="auto"/>
              <w:right w:val="single" w:sz="4" w:space="0" w:color="auto"/>
            </w:tcBorders>
            <w:hideMark/>
          </w:tcPr>
          <w:p w14:paraId="09EBB9E7" w14:textId="77777777" w:rsidR="001F2FCF" w:rsidRPr="001F2FCF" w:rsidRDefault="001F2FCF">
            <w:pPr>
              <w:rPr>
                <w:rFonts w:ascii="Arial" w:hAnsi="Arial" w:cs="Arial"/>
                <w:sz w:val="16"/>
                <w:szCs w:val="16"/>
              </w:rPr>
            </w:pPr>
            <w:r w:rsidRPr="001F2FCF">
              <w:rPr>
                <w:rFonts w:ascii="Arial" w:hAnsi="Arial" w:cs="Arial"/>
                <w:sz w:val="16"/>
                <w:szCs w:val="16"/>
              </w:rPr>
              <w:t>-Connaître les grandes tendances d’évolution des inégalités économiques depuis le début du XXe siècle et comprendre que les inégalités économiques et sociales présentent un caractère multiforme et cumulatif.</w:t>
            </w:r>
          </w:p>
          <w:p w14:paraId="3347766F" w14:textId="77777777" w:rsidR="001F2FCF" w:rsidRPr="001F2FCF" w:rsidRDefault="001F2FCF">
            <w:pPr>
              <w:rPr>
                <w:rFonts w:ascii="Arial" w:hAnsi="Arial" w:cs="Arial"/>
                <w:sz w:val="16"/>
                <w:szCs w:val="16"/>
              </w:rPr>
            </w:pPr>
            <w:r w:rsidRPr="001F2FCF">
              <w:rPr>
                <w:rFonts w:ascii="Arial" w:hAnsi="Arial" w:cs="Arial"/>
                <w:sz w:val="16"/>
                <w:szCs w:val="16"/>
              </w:rPr>
              <w:t>-Savoir interpréter les principaux outils de mesure des inégalités, statique (rapport inter-quantiles, courbe de Lorenz et coefficient de Gini, top 1%) et dynamique (corrélation de revenu parents-enfants).</w:t>
            </w:r>
          </w:p>
          <w:p w14:paraId="57975DE9" w14:textId="77777777" w:rsidR="001F2FCF" w:rsidRPr="001F2FCF" w:rsidRDefault="001F2FCF">
            <w:pPr>
              <w:rPr>
                <w:rFonts w:ascii="Arial" w:hAnsi="Arial" w:cs="Arial"/>
                <w:sz w:val="16"/>
                <w:szCs w:val="16"/>
              </w:rPr>
            </w:pPr>
            <w:r w:rsidRPr="001F2FCF">
              <w:rPr>
                <w:rFonts w:ascii="Arial" w:hAnsi="Arial" w:cs="Arial"/>
                <w:sz w:val="16"/>
                <w:szCs w:val="16"/>
              </w:rPr>
              <w:t>-Comprendre que les différentes formes d’égalité (égalité des droits, des chances ou des situations) permettent de définir ce qui est considéré comme juste selon différentes conceptions de la justice sociale (notamment l’utilitarisme, le libertarisme, l’égalitarisme libéral, l’égalitarisme strict).</w:t>
            </w:r>
          </w:p>
          <w:p w14:paraId="64FA8876" w14:textId="77777777" w:rsidR="001F2FCF" w:rsidRPr="001F2FCF" w:rsidRDefault="001F2FCF">
            <w:pPr>
              <w:rPr>
                <w:rFonts w:ascii="Arial" w:hAnsi="Arial" w:cs="Arial"/>
                <w:sz w:val="16"/>
                <w:szCs w:val="16"/>
              </w:rPr>
            </w:pPr>
            <w:r w:rsidRPr="001F2FCF">
              <w:rPr>
                <w:rFonts w:ascii="Arial" w:hAnsi="Arial" w:cs="Arial"/>
                <w:sz w:val="16"/>
                <w:szCs w:val="16"/>
              </w:rPr>
              <w:t>-Comprendre que l’action des pouvoirs publics en matière de justice sociale (fiscalité, protection sociale, services collectifs, mesures de lutte contre les discriminations) s’exerce sous contrainte de financement et fait l’objet de débats en termes d’efficacité (réduction des inégalités), de légitimité (notamment consentement à l’impôt) et de risque d’effets pervers (désincitations).</w:t>
            </w:r>
          </w:p>
        </w:tc>
      </w:tr>
    </w:tbl>
    <w:p w14:paraId="16057FDE" w14:textId="65693CE8" w:rsidR="00944C5D" w:rsidRDefault="00944C5D"/>
    <w:p w14:paraId="115275D0" w14:textId="237E64C3" w:rsidR="001F2FCF" w:rsidRDefault="001F2FCF"/>
    <w:p w14:paraId="42EC4928" w14:textId="7DBF65D5" w:rsidR="001F2FCF" w:rsidRDefault="001F2FCF"/>
    <w:sectPr w:rsidR="001F2FCF" w:rsidSect="001F2F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5D"/>
    <w:rsid w:val="00187A97"/>
    <w:rsid w:val="001F2FCF"/>
    <w:rsid w:val="00306B09"/>
    <w:rsid w:val="00342D2A"/>
    <w:rsid w:val="003F0021"/>
    <w:rsid w:val="004635FA"/>
    <w:rsid w:val="00732E12"/>
    <w:rsid w:val="00944C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5A16"/>
  <w15:chartTrackingRefBased/>
  <w15:docId w15:val="{72E83BD7-EBAD-4450-AC77-10A20F70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44C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944C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1F2F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234">
      <w:bodyDiv w:val="1"/>
      <w:marLeft w:val="0"/>
      <w:marRight w:val="0"/>
      <w:marTop w:val="0"/>
      <w:marBottom w:val="0"/>
      <w:divBdr>
        <w:top w:val="none" w:sz="0" w:space="0" w:color="auto"/>
        <w:left w:val="none" w:sz="0" w:space="0" w:color="auto"/>
        <w:bottom w:val="none" w:sz="0" w:space="0" w:color="auto"/>
        <w:right w:val="none" w:sz="0" w:space="0" w:color="auto"/>
      </w:divBdr>
    </w:div>
    <w:div w:id="1306347991">
      <w:bodyDiv w:val="1"/>
      <w:marLeft w:val="0"/>
      <w:marRight w:val="0"/>
      <w:marTop w:val="0"/>
      <w:marBottom w:val="0"/>
      <w:divBdr>
        <w:top w:val="none" w:sz="0" w:space="0" w:color="auto"/>
        <w:left w:val="none" w:sz="0" w:space="0" w:color="auto"/>
        <w:bottom w:val="none" w:sz="0" w:space="0" w:color="auto"/>
        <w:right w:val="none" w:sz="0" w:space="0" w:color="auto"/>
      </w:divBdr>
    </w:div>
    <w:div w:id="1321229453">
      <w:bodyDiv w:val="1"/>
      <w:marLeft w:val="0"/>
      <w:marRight w:val="0"/>
      <w:marTop w:val="0"/>
      <w:marBottom w:val="0"/>
      <w:divBdr>
        <w:top w:val="none" w:sz="0" w:space="0" w:color="auto"/>
        <w:left w:val="none" w:sz="0" w:space="0" w:color="auto"/>
        <w:bottom w:val="none" w:sz="0" w:space="0" w:color="auto"/>
        <w:right w:val="none" w:sz="0" w:space="0" w:color="auto"/>
      </w:divBdr>
    </w:div>
    <w:div w:id="20519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1079</Words>
  <Characters>5938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MAROTTE</dc:creator>
  <cp:keywords/>
  <dc:description/>
  <cp:lastModifiedBy>antoine MAROTTE</cp:lastModifiedBy>
  <cp:revision>2</cp:revision>
  <dcterms:created xsi:type="dcterms:W3CDTF">2022-05-08T20:24:00Z</dcterms:created>
  <dcterms:modified xsi:type="dcterms:W3CDTF">2022-05-08T20:24:00Z</dcterms:modified>
</cp:coreProperties>
</file>