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jc w:val="center"/>
        <w:rPr/>
      </w:pPr>
      <w:bookmarkStart w:id="0" w:name="_Hlk49715999"/>
      <w:r>
        <w:rPr>
          <w:rFonts w:cs="Arial" w:ascii="Arial" w:hAnsi="Arial"/>
          <w:b/>
          <w:sz w:val="16"/>
          <w:szCs w:val="16"/>
        </w:rPr>
        <w:t xml:space="preserve">Sciences Economiques et Sociales                               </w:t>
      </w:r>
    </w:p>
    <w:p>
      <w:pPr>
        <w:pStyle w:val="Standard"/>
        <w:jc w:val="center"/>
        <w:rPr>
          <w:rFonts w:ascii="Arial" w:hAnsi="Arial" w:cs="Arial"/>
          <w:b/>
        </w:rPr>
      </w:pPr>
      <w:bookmarkStart w:id="1" w:name="_Hlk49715999"/>
      <w:r>
        <w:rPr>
          <w:rFonts w:cs="Arial" w:ascii="Arial" w:hAnsi="Arial"/>
          <w:b/>
        </w:rPr>
        <w:t>Questionnement : comment créée – t-on des richesses et comment les mesure – t-on ?</w:t>
      </w:r>
      <w:bookmarkEnd w:id="1"/>
    </w:p>
    <w:p>
      <w:pPr>
        <w:pStyle w:val="Standard"/>
        <w:jc w:val="center"/>
        <w:rPr/>
      </w:pPr>
      <w:r>
        <w:rPr/>
      </w:r>
    </w:p>
    <w:p>
      <w:pPr>
        <w:pStyle w:val="Standard"/>
        <w:jc w:val="center"/>
        <w:rPr/>
      </w:pPr>
      <w:r>
        <w:rPr>
          <w:rFonts w:cs="Arial" w:ascii="Arial" w:hAnsi="Arial"/>
          <w:b/>
          <w:bCs/>
          <w:sz w:val="28"/>
          <w:szCs w:val="28"/>
        </w:rPr>
        <w:t xml:space="preserve">CH1 : </w:t>
      </w:r>
      <w:r>
        <w:rPr>
          <w:rFonts w:cs="Arial" w:ascii="Arial" w:hAnsi="Arial"/>
          <w:sz w:val="28"/>
          <w:szCs w:val="28"/>
        </w:rPr>
        <w:t xml:space="preserve"> Qui produit ? Que produit-on ?</w:t>
      </w:r>
    </w:p>
    <w:p>
      <w:pPr>
        <w:pStyle w:val="Standard"/>
        <w:rPr>
          <w:rFonts w:ascii="Arial" w:hAnsi="Arial" w:cs="Arial"/>
          <w:b/>
          <w:bCs/>
          <w:sz w:val="24"/>
          <w:szCs w:val="24"/>
        </w:rPr>
      </w:pPr>
      <w:r>
        <w:rPr>
          <w:rFonts w:cs="Arial" w:ascii="Arial" w:hAnsi="Arial"/>
          <w:b/>
          <w:bCs/>
          <w:sz w:val="24"/>
          <w:szCs w:val="24"/>
        </w:rPr>
        <w:t>Document 1 : diversité des producteurs</w:t>
      </w:r>
    </w:p>
    <w:p>
      <w:pPr>
        <w:pStyle w:val="Standard"/>
        <w:rPr>
          <w:rFonts w:ascii="Arial" w:hAnsi="Arial" w:cs="Arial"/>
          <w:sz w:val="24"/>
          <w:szCs w:val="24"/>
        </w:rPr>
      </w:pPr>
      <w:r>
        <w:rPr>
          <w:rFonts w:cs="Arial" w:ascii="Arial" w:hAnsi="Arial"/>
          <w:sz w:val="24"/>
          <w:szCs w:val="24"/>
        </w:rPr>
        <w:t>Voici des sigles divers : quels organismes sont représentés ? Est-ce que ces organismes produisent ? Quelle est la nature de leur production ?</w:t>
      </w:r>
    </w:p>
    <w:p>
      <w:pPr>
        <w:pStyle w:val="Standard"/>
        <w:rPr>
          <w:rFonts w:ascii="Arial" w:hAnsi="Arial" w:cs="Arial"/>
          <w:sz w:val="18"/>
          <w:szCs w:val="18"/>
        </w:rPr>
      </w:pPr>
      <w:r>
        <w:rPr>
          <w:rFonts w:cs="Arial" w:ascii="Arial" w:hAnsi="Arial"/>
          <w:b/>
          <w:bCs/>
          <w:sz w:val="18"/>
          <w:szCs w:val="18"/>
        </w:rPr>
        <w:t>Carrefour :</w:t>
      </w:r>
      <w:r>
        <w:rPr>
          <w:rFonts w:cs="Arial" w:ascii="Arial" w:hAnsi="Arial"/>
          <w:sz w:val="18"/>
          <w:szCs w:val="18"/>
        </w:rPr>
        <w:t xml:space="preserve"> entreprise privée, produit un service marchand de distribution. C’est une multinationale en même temps qu’un « poids lourd » du secteur (n°2 mondial derrière Walmart).</w:t>
      </w:r>
    </w:p>
    <w:p>
      <w:pPr>
        <w:pStyle w:val="Standard"/>
        <w:rPr>
          <w:rFonts w:ascii="Arial" w:hAnsi="Arial" w:cs="Arial"/>
          <w:sz w:val="18"/>
          <w:szCs w:val="18"/>
        </w:rPr>
      </w:pPr>
      <w:r>
        <w:rPr>
          <w:rFonts w:cs="Arial" w:ascii="Arial" w:hAnsi="Arial"/>
          <w:b/>
          <w:bCs/>
          <w:sz w:val="18"/>
          <w:szCs w:val="18"/>
        </w:rPr>
        <w:t>Les restaurants du cœur :</w:t>
      </w:r>
      <w:r>
        <w:rPr>
          <w:rFonts w:cs="Arial" w:ascii="Arial" w:hAnsi="Arial"/>
          <w:sz w:val="18"/>
          <w:szCs w:val="18"/>
        </w:rPr>
        <w:t xml:space="preserve"> association (organisme privé) qui produit un service non marchand de distribution de biens et de services auprès des bénéficiaires. L’association nait dans les années 80, fondée par Coluche, pour répondre au développement de ce que l’on a appelé la « nouvelle pauvreté ». Elle fonctionne grâce à des dons et, parfois, par des subventions de l’Etat.</w:t>
      </w:r>
    </w:p>
    <w:p>
      <w:pPr>
        <w:pStyle w:val="Standard"/>
        <w:rPr>
          <w:rFonts w:ascii="Arial" w:hAnsi="Arial" w:cs="Arial"/>
          <w:sz w:val="18"/>
          <w:szCs w:val="18"/>
        </w:rPr>
      </w:pPr>
      <w:r>
        <w:rPr>
          <w:rFonts w:cs="Arial" w:ascii="Arial" w:hAnsi="Arial"/>
          <w:b/>
          <w:bCs/>
          <w:sz w:val="18"/>
          <w:szCs w:val="18"/>
        </w:rPr>
        <w:t>Caisse d’Allocations Familiales :</w:t>
      </w:r>
      <w:r>
        <w:rPr>
          <w:rFonts w:cs="Arial" w:ascii="Arial" w:hAnsi="Arial"/>
          <w:sz w:val="18"/>
          <w:szCs w:val="18"/>
        </w:rPr>
        <w:t xml:space="preserve"> Etat, c’est une caisse d’assurance sociale (comme l’UNEDIC pour le chômage, la CNAM pour l’assurance maladie, les caisses de retraites) qui correspond à la production d’un service non marchand de redistribution. Chaque caisse correspond à une assurance obligatoire face à un risque de baisse du revenu, lié à la perte d’activité (chômage/retraite) à la maladie, à l’arrivée d’enfants. Ces caisses sont financées par des cotisations sociales (prélevées sur les salaires) et reversent des prestations (des allocations ou des remboursements).</w:t>
      </w:r>
    </w:p>
    <w:p>
      <w:pPr>
        <w:pStyle w:val="Standard"/>
        <w:rPr>
          <w:rFonts w:ascii="Arial" w:hAnsi="Arial" w:cs="Arial"/>
          <w:sz w:val="18"/>
          <w:szCs w:val="18"/>
        </w:rPr>
      </w:pPr>
      <w:r>
        <w:rPr>
          <w:rFonts w:cs="Arial" w:ascii="Arial" w:hAnsi="Arial"/>
          <w:sz w:val="18"/>
          <w:szCs w:val="18"/>
        </w:rPr>
        <w:t>Ces caisses peuvent être assimilée à l’Etat parce qu’elles sous tutelle de l’Etat, en cas de problème de financement par exemple. Ce sont des organismes privés un peu spéciaux qui bénéficient d’une délégation de mission de service public.</w:t>
      </w:r>
    </w:p>
    <w:p>
      <w:pPr>
        <w:pStyle w:val="Standard"/>
        <w:rPr>
          <w:rFonts w:ascii="Arial" w:hAnsi="Arial" w:cs="Arial"/>
          <w:sz w:val="18"/>
          <w:szCs w:val="18"/>
        </w:rPr>
      </w:pPr>
      <w:r>
        <w:rPr>
          <w:rFonts w:cs="Arial" w:ascii="Arial" w:hAnsi="Arial"/>
          <w:sz w:val="18"/>
          <w:szCs w:val="18"/>
        </w:rPr>
        <w:t>Ne pas confondre avec les assurances privées et les mutuelles qui assurent une production de service marchand.</w:t>
      </w:r>
    </w:p>
    <w:p>
      <w:pPr>
        <w:pStyle w:val="Standard"/>
        <w:rPr>
          <w:rFonts w:ascii="Arial" w:hAnsi="Arial" w:cs="Arial"/>
          <w:sz w:val="18"/>
          <w:szCs w:val="18"/>
        </w:rPr>
      </w:pPr>
      <w:r>
        <w:rPr>
          <w:rFonts w:cs="Arial" w:ascii="Arial" w:hAnsi="Arial"/>
          <w:b/>
          <w:bCs/>
          <w:sz w:val="18"/>
          <w:szCs w:val="18"/>
        </w:rPr>
        <w:t xml:space="preserve">SNCF : </w:t>
      </w:r>
      <w:r>
        <w:rPr>
          <w:rFonts w:cs="Arial" w:ascii="Arial" w:hAnsi="Arial"/>
          <w:sz w:val="18"/>
          <w:szCs w:val="18"/>
        </w:rPr>
        <w:t>entreprise publique qui produit un service marchand de transport ferroviaire. Cette entreprise a longtemps été la seule à proposer un service ferroviaire en France : il s’agissait d’un monopole d’Etat. Aujourd’hui, la partie de la SNCF qui s’occupe du transport de voyageur est en situation de concurrence (même si cette concurrence reste très limitée).</w:t>
      </w:r>
    </w:p>
    <w:p>
      <w:pPr>
        <w:pStyle w:val="Standard"/>
        <w:rPr>
          <w:rFonts w:ascii="Arial" w:hAnsi="Arial" w:cs="Arial"/>
          <w:sz w:val="18"/>
          <w:szCs w:val="18"/>
        </w:rPr>
      </w:pPr>
      <w:r>
        <w:rPr>
          <w:rFonts w:cs="Arial" w:ascii="Arial" w:hAnsi="Arial"/>
          <w:sz w:val="18"/>
          <w:szCs w:val="18"/>
        </w:rPr>
        <w:t>Le but de l’entreprise a aussi évolué : en tant que monopole public son but était une mission de service public (faire voyager les usagers au même tarif kilométrique quelque soit la destination sur le territoire) alors qu’aujourd’hui, le but est de parvenir à réaliser un profit. La partie de la SNCF qui s’occupe des infrastructures (rails, catenaires,  ..) reste sous forme de monopole public.</w:t>
      </w:r>
    </w:p>
    <w:p>
      <w:pPr>
        <w:pStyle w:val="Standard"/>
        <w:rPr>
          <w:rFonts w:ascii="Arial" w:hAnsi="Arial" w:cs="Arial"/>
          <w:sz w:val="18"/>
          <w:szCs w:val="18"/>
        </w:rPr>
      </w:pPr>
      <w:r>
        <w:rPr>
          <w:rFonts w:cs="Arial" w:ascii="Arial" w:hAnsi="Arial"/>
          <w:sz w:val="18"/>
          <w:szCs w:val="18"/>
        </w:rPr>
        <w:t>Dans tous les cas la SNCF est une entreprise publique qui réalise une production marchande. Mais son but a changé dans le temps.</w:t>
      </w:r>
    </w:p>
    <w:p>
      <w:pPr>
        <w:pStyle w:val="Standard"/>
        <w:rPr>
          <w:rFonts w:ascii="Arial" w:hAnsi="Arial" w:cs="Arial"/>
          <w:sz w:val="18"/>
          <w:szCs w:val="18"/>
        </w:rPr>
      </w:pPr>
      <w:r>
        <w:rPr>
          <w:rFonts w:cs="Arial" w:ascii="Arial" w:hAnsi="Arial"/>
          <w:sz w:val="18"/>
          <w:szCs w:val="18"/>
        </w:rPr>
        <w:t>Remarque : la « nationalisation » = quand une entreprise privée devient une entreprise publique. C’est le contraire de la « privatisation » = lorsqu’une entreprise publique est vendue au privé. Le rail anglais a été largement privatisé durant les années 80. L’objectif était d’obtenir une baisse des prix par une intensification de la concurrence. Le résultat n’a pas été à la hauteur des attentes et la sécurité des usagers a été finalement mise en cause. L’Etat a alors renationalisé ce qui avait été privatisé.</w:t>
      </w:r>
    </w:p>
    <w:p>
      <w:pPr>
        <w:pStyle w:val="Standard"/>
        <w:rPr>
          <w:rFonts w:ascii="Arial" w:hAnsi="Arial" w:cs="Arial"/>
          <w:sz w:val="18"/>
          <w:szCs w:val="18"/>
        </w:rPr>
      </w:pPr>
      <w:r>
        <w:rPr>
          <w:rFonts w:cs="Arial" w:ascii="Arial" w:hAnsi="Arial"/>
          <w:b/>
          <w:bCs/>
          <w:sz w:val="18"/>
          <w:szCs w:val="18"/>
        </w:rPr>
        <w:t>BNP</w:t>
      </w:r>
      <w:r>
        <w:rPr>
          <w:rFonts w:cs="Arial" w:ascii="Arial" w:hAnsi="Arial"/>
          <w:sz w:val="18"/>
          <w:szCs w:val="18"/>
        </w:rPr>
        <w:t> : entreprise privée, c’est une banque. Là encore, c’est une multinationale et un géant du secteur. Elle produit un service bancaire marchand. L’essentiel de l’activité bancaire repose sur l’octroi de prêt en échange d’un taux d’intérêt (c’est le prix à payer)</w:t>
      </w:r>
    </w:p>
    <w:p>
      <w:pPr>
        <w:pStyle w:val="Standard"/>
        <w:rPr>
          <w:rFonts w:ascii="Arial" w:hAnsi="Arial" w:cs="Arial"/>
          <w:sz w:val="18"/>
          <w:szCs w:val="18"/>
        </w:rPr>
      </w:pPr>
      <w:r>
        <w:rPr>
          <w:rFonts w:cs="Arial" w:ascii="Arial" w:hAnsi="Arial"/>
          <w:sz w:val="18"/>
          <w:szCs w:val="18"/>
        </w:rPr>
        <w:t>Université de La Rochelle : Etat (administration publique) qui produit un service d’éducation et de recherche non marchand. En France, l’essentiel de l’éducation de la maternelle au supérieur est produit de manière non marchande. Ce n’est pas le cas dans tous les pays : aux Etats Unis notamment, l’éducation est pour l’essentiel un service marchand et, dans le supérieur, les étudiants doivent s’endetter lourdement pour pouvoir réaliser les années d’études. ( de 10000 euros l’année à beaucoup plus selon les établissements).</w:t>
      </w:r>
    </w:p>
    <w:p>
      <w:pPr>
        <w:pStyle w:val="Standard"/>
        <w:rPr>
          <w:rFonts w:ascii="Arial" w:hAnsi="Arial" w:cs="Arial"/>
          <w:sz w:val="18"/>
          <w:szCs w:val="18"/>
        </w:rPr>
      </w:pPr>
      <w:r>
        <w:rPr>
          <w:rFonts w:cs="Arial" w:ascii="Arial" w:hAnsi="Arial"/>
          <w:b/>
          <w:bCs/>
          <w:sz w:val="18"/>
          <w:szCs w:val="18"/>
        </w:rPr>
        <w:t>Renault </w:t>
      </w:r>
      <w:r>
        <w:rPr>
          <w:rFonts w:cs="Arial" w:ascii="Arial" w:hAnsi="Arial"/>
          <w:sz w:val="18"/>
          <w:szCs w:val="18"/>
        </w:rPr>
        <w:t>: entreprise privée qui réalise une production de bien marchand (automobile). Cette entreprise a eu une histoire qui montre la complexité du développement des entreprises. Petite entreprise familiale de pionniers de l’automobile, elle devient une grande entreprise française, n’ayant pour seuls concurrents réels Citroên et Peugeot. Au lendemain de la seconde guerre mondiale, l’entreprise est nationalisée de manière punitive au motif de collaboration avec l’occupant nazi. L’entreprise privée devient publique. Durant les années 80/90, l’Etat va revendre une partie de ses actions lors de privatisations successives. L’entreprise redevient privée mais avec une participation de l’Etat dans le capital (L’Etat est un actionnaire minoritaire de l’entreprise). Par ailleurs, Renault a fait alliance avec Nissan pour former un groupe Renault-Nissan , multinational, qui comprend de nombreuses filiales (comme Dacia par exemple).</w:t>
      </w:r>
    </w:p>
    <w:p>
      <w:pPr>
        <w:pStyle w:val="Standard"/>
        <w:rPr>
          <w:rFonts w:ascii="Arial" w:hAnsi="Arial" w:cs="Arial"/>
          <w:sz w:val="18"/>
          <w:szCs w:val="18"/>
        </w:rPr>
      </w:pPr>
      <w:r>
        <w:rPr>
          <w:rFonts w:cs="Arial" w:ascii="Arial" w:hAnsi="Arial"/>
          <w:sz w:val="18"/>
          <w:szCs w:val="18"/>
        </w:rPr>
      </w:r>
    </w:p>
    <w:p>
      <w:pPr>
        <w:pStyle w:val="Standard"/>
        <w:rPr>
          <w:rFonts w:ascii="Arial" w:hAnsi="Arial" w:cs="Arial"/>
          <w:sz w:val="18"/>
          <w:szCs w:val="18"/>
        </w:rPr>
      </w:pPr>
      <w:r>
        <w:rPr>
          <w:rFonts w:cs="Arial" w:ascii="Arial" w:hAnsi="Arial"/>
          <w:b/>
          <w:bCs/>
          <w:sz w:val="18"/>
          <w:szCs w:val="18"/>
        </w:rPr>
        <w:t>ELF/ Total (Total énergies)</w:t>
      </w:r>
      <w:r>
        <w:rPr>
          <w:rFonts w:cs="Arial" w:ascii="Arial" w:hAnsi="Arial"/>
          <w:sz w:val="18"/>
          <w:szCs w:val="18"/>
        </w:rPr>
        <w:t xml:space="preserve"> : entreprise privée (avec participation de l’Etat) qui réalise une production marchande d’extraction, de raffinage et de distribution d’essence. Les activités de Total sont aussi bien dans les services (la distribution) que dans l’industrie (le raffinage = production de biens). C’est à nouveau une multinationale. Elle a un rôle stratégique dans la transition écologique et doit accompagner les décisions politique en réorientant ses activités (elle devrait devenir moins « pétrolière » et davantage « énergies renouvelables ») </w:t>
      </w:r>
    </w:p>
    <w:p>
      <w:pPr>
        <w:pStyle w:val="Standard"/>
        <w:spacing w:before="0" w:after="198"/>
        <w:contextualSpacing/>
        <w:rPr>
          <w:b/>
          <w:bCs/>
        </w:rPr>
      </w:pPr>
      <w:r>
        <w:rPr>
          <w:rFonts w:cs="Arial" w:ascii="Arial" w:hAnsi="Arial"/>
          <w:b/>
          <w:bCs/>
          <w:sz w:val="18"/>
          <w:szCs w:val="18"/>
        </w:rPr>
        <w:t>Bilan :</w:t>
      </w:r>
    </w:p>
    <w:p>
      <w:pPr>
        <w:pStyle w:val="Standard"/>
        <w:spacing w:before="0" w:after="198"/>
        <w:contextualSpacing/>
        <w:rPr/>
      </w:pPr>
      <w:r>
        <w:rPr>
          <w:rFonts w:cs="Arial" w:ascii="Arial" w:hAnsi="Arial"/>
          <w:sz w:val="18"/>
          <w:szCs w:val="18"/>
        </w:rPr>
        <w:t xml:space="preserve">- </w:t>
      </w:r>
      <w:r>
        <w:rPr>
          <w:rFonts w:cs="Arial" w:ascii="Arial" w:hAnsi="Arial"/>
          <w:sz w:val="18"/>
          <w:szCs w:val="18"/>
        </w:rPr>
        <w:t>tous les organisme présentés ici réalisent une production.</w:t>
      </w:r>
    </w:p>
    <w:p>
      <w:pPr>
        <w:pStyle w:val="Standard"/>
        <w:spacing w:before="0" w:after="198"/>
        <w:contextualSpacing/>
        <w:rPr/>
      </w:pPr>
      <w:r>
        <w:rPr>
          <w:rFonts w:cs="Arial" w:ascii="Arial" w:hAnsi="Arial"/>
          <w:sz w:val="18"/>
          <w:szCs w:val="18"/>
        </w:rPr>
        <w:t>- le point commun des entreprises, qu’elles soient publiques ou privées , est de réaliser une production marchande (que ce soient des biens ou des services)</w:t>
      </w:r>
    </w:p>
    <w:p>
      <w:pPr>
        <w:pStyle w:val="Standard"/>
        <w:spacing w:before="0" w:after="198"/>
        <w:contextualSpacing/>
        <w:rPr/>
      </w:pPr>
      <w:r>
        <w:rPr>
          <w:rFonts w:cs="Arial" w:ascii="Arial" w:hAnsi="Arial"/>
          <w:sz w:val="18"/>
          <w:szCs w:val="18"/>
        </w:rPr>
        <w:t>- seuls les services peuvent être non marchands. Tous les biens sont marchands. Pour l’essentiel, ces services non marchands sont produits par l’État et financés par l’impôt (police , justice, armée, éducation …)</w:t>
      </w:r>
    </w:p>
    <w:p>
      <w:pPr>
        <w:pStyle w:val="Standard"/>
        <w:spacing w:before="0" w:after="198"/>
        <w:contextualSpacing/>
        <w:rPr>
          <w:rFonts w:ascii="Arial" w:hAnsi="Arial" w:cs="Arial"/>
          <w:sz w:val="18"/>
          <w:szCs w:val="18"/>
        </w:rPr>
      </w:pPr>
      <w:r>
        <w:rPr/>
      </w:r>
    </w:p>
    <w:p>
      <w:pPr>
        <w:pStyle w:val="Standard"/>
        <w:rPr>
          <w:b/>
          <w:sz w:val="20"/>
          <w:szCs w:val="20"/>
        </w:rPr>
      </w:pPr>
      <w:r>
        <w:rPr>
          <w:rFonts w:cs="Arial" w:ascii="Arial" w:hAnsi="Arial"/>
          <w:b/>
          <w:sz w:val="20"/>
          <w:szCs w:val="20"/>
        </w:rPr>
        <w:t xml:space="preserve">Questionnaire sur la vidéo :  </w:t>
      </w:r>
      <w:hyperlink r:id="rId2">
        <w:r>
          <w:rPr>
            <w:rStyle w:val="ListLabel28"/>
            <w:rFonts w:cs="Arial" w:ascii="Arial" w:hAnsi="Arial"/>
            <w:b/>
            <w:sz w:val="20"/>
            <w:szCs w:val="20"/>
          </w:rPr>
          <w:t>Qui produit des richesses ? (youtube.com)</w:t>
        </w:r>
      </w:hyperlink>
    </w:p>
    <w:p>
      <w:pPr>
        <w:pStyle w:val="Standard"/>
        <w:rPr>
          <w:rFonts w:ascii="Arial" w:hAnsi="Arial" w:cs="Arial"/>
          <w:b/>
          <w:sz w:val="20"/>
          <w:szCs w:val="20"/>
        </w:rPr>
      </w:pPr>
      <w:r>
        <w:rPr>
          <w:rFonts w:cs="Arial" w:ascii="Arial" w:hAnsi="Arial"/>
          <w:b/>
          <w:sz w:val="20"/>
          <w:szCs w:val="20"/>
        </w:rPr>
        <w:t>https://www.youtube.com/watch?v=aTJgWObdHMQ</w:t>
      </w:r>
    </w:p>
    <w:p>
      <w:pPr>
        <w:pStyle w:val="NoSpacing"/>
        <w:numPr>
          <w:ilvl w:val="0"/>
          <w:numId w:val="4"/>
        </w:numPr>
        <w:rPr>
          <w:b w:val="false"/>
          <w:bCs w:val="false"/>
        </w:rPr>
      </w:pPr>
      <w:r>
        <w:rPr>
          <w:b w:val="false"/>
          <w:bCs w:val="false"/>
        </w:rPr>
        <w:t>Que peut-on produire ?</w:t>
      </w:r>
    </w:p>
    <w:p>
      <w:pPr>
        <w:pStyle w:val="NoSpacing"/>
        <w:numPr>
          <w:ilvl w:val="0"/>
          <w:numId w:val="0"/>
        </w:numPr>
        <w:ind w:hanging="0" w:left="720"/>
        <w:rPr>
          <w:sz w:val="18"/>
          <w:szCs w:val="18"/>
        </w:rPr>
      </w:pPr>
      <w:r>
        <w:rPr>
          <w:b w:val="false"/>
          <w:bCs w:val="false"/>
          <w:sz w:val="18"/>
          <w:szCs w:val="18"/>
        </w:rPr>
        <w:t>Produire, c’est transformer pour réaliser des biens ou des services. Toutes les productions ne sont pas comptabilisées par les économistes. Ils n’enregistrent que les productions marchande et non marchande.</w:t>
      </w:r>
    </w:p>
    <w:p>
      <w:pPr>
        <w:pStyle w:val="NoSpacing"/>
        <w:numPr>
          <w:ilvl w:val="0"/>
          <w:numId w:val="5"/>
        </w:numPr>
        <w:rPr>
          <w:b w:val="false"/>
          <w:bCs w:val="false"/>
        </w:rPr>
      </w:pPr>
      <w:r>
        <w:rPr>
          <w:b w:val="false"/>
          <w:bCs w:val="false"/>
        </w:rPr>
        <w:t>Qu’est-ce que la production  marchande et la production non marchande ?</w:t>
      </w:r>
    </w:p>
    <w:p>
      <w:pPr>
        <w:pStyle w:val="NoSpacing"/>
        <w:numPr>
          <w:ilvl w:val="0"/>
          <w:numId w:val="0"/>
        </w:numPr>
        <w:ind w:hanging="0" w:left="720"/>
        <w:rPr>
          <w:sz w:val="18"/>
          <w:szCs w:val="18"/>
        </w:rPr>
      </w:pPr>
      <w:r>
        <w:rPr>
          <w:b w:val="false"/>
          <w:bCs w:val="false"/>
          <w:sz w:val="18"/>
          <w:szCs w:val="18"/>
        </w:rPr>
        <w:t>Marchande = réalisation de biens ou de services qui sont échangés sur un marché contre un prix de vente. Elle est réalisée par les entreprises</w:t>
      </w:r>
    </w:p>
    <w:p>
      <w:pPr>
        <w:pStyle w:val="NoSpacing"/>
        <w:numPr>
          <w:ilvl w:val="0"/>
          <w:numId w:val="0"/>
        </w:numPr>
        <w:ind w:hanging="0" w:left="720"/>
        <w:rPr>
          <w:sz w:val="18"/>
          <w:szCs w:val="18"/>
        </w:rPr>
      </w:pPr>
      <w:r>
        <w:rPr>
          <w:b w:val="false"/>
          <w:bCs w:val="false"/>
          <w:sz w:val="18"/>
          <w:szCs w:val="18"/>
        </w:rPr>
        <w:t>Non Marchande = réalisation de services à titre « gratuit ou quasi gratuit. La règle est que s’il n’y a pas de prix , le service est non marchand. S’il y a un prix, il faut que le prix ne dépasse pas 50 % du coût de production du service. Cette production est réalisée par l’État (administrations publiques) et par les associations (qui sont des organismes privés mais à but non lucratif)</w:t>
      </w:r>
    </w:p>
    <w:p>
      <w:pPr>
        <w:pStyle w:val="NoSpacing"/>
        <w:numPr>
          <w:ilvl w:val="0"/>
          <w:numId w:val="6"/>
        </w:numPr>
        <w:rPr>
          <w:b w:val="false"/>
          <w:bCs w:val="false"/>
        </w:rPr>
      </w:pPr>
      <w:bookmarkStart w:id="2" w:name="_Hlk50973503"/>
      <w:r>
        <w:rPr>
          <w:b w:val="false"/>
          <w:bCs w:val="false"/>
        </w:rPr>
        <w:t>Qu’est-ce qu’une entreprise ?</w:t>
      </w:r>
    </w:p>
    <w:p>
      <w:pPr>
        <w:pStyle w:val="NoSpacing"/>
        <w:numPr>
          <w:ilvl w:val="0"/>
          <w:numId w:val="0"/>
        </w:numPr>
        <w:ind w:hanging="0" w:left="720"/>
        <w:rPr/>
      </w:pPr>
      <w:r>
        <w:rPr>
          <w:b w:val="false"/>
          <w:bCs w:val="false"/>
          <w:sz w:val="18"/>
          <w:szCs w:val="18"/>
        </w:rPr>
        <w:t>Organisme privé ou public qui produit des biens et des services marchands, c’est à dire des biens et des services qui ont un prix qui dépasse 50 % du coût de production. La plupart du temps, les entreprises ont pour but de réaliser un maximum de profit.</w:t>
      </w:r>
    </w:p>
    <w:p>
      <w:pPr>
        <w:pStyle w:val="NoSpacing"/>
        <w:numPr>
          <w:ilvl w:val="0"/>
          <w:numId w:val="7"/>
        </w:numPr>
        <w:rPr>
          <w:b w:val="false"/>
          <w:bCs w:val="false"/>
        </w:rPr>
      </w:pPr>
      <w:bookmarkStart w:id="3" w:name="_Hlk50973503"/>
      <w:r>
        <w:rPr>
          <w:b w:val="false"/>
          <w:bCs w:val="false"/>
        </w:rPr>
        <w:t>Les entreprises ont-elles toutes pour objectif principal de réaliser un profit ?</w:t>
      </w:r>
      <w:bookmarkEnd w:id="3"/>
    </w:p>
    <w:p>
      <w:pPr>
        <w:pStyle w:val="NoSpacing"/>
        <w:numPr>
          <w:ilvl w:val="0"/>
          <w:numId w:val="0"/>
        </w:numPr>
        <w:ind w:hanging="0" w:left="720"/>
        <w:rPr>
          <w:b w:val="false"/>
          <w:bCs w:val="false"/>
          <w:sz w:val="18"/>
          <w:szCs w:val="18"/>
        </w:rPr>
      </w:pPr>
      <w:r>
        <w:rPr>
          <w:b w:val="false"/>
          <w:bCs w:val="false"/>
          <w:sz w:val="18"/>
          <w:szCs w:val="18"/>
        </w:rPr>
        <w:t>Non. On peut citer au moins deux exemples contraire, des entreprises (qui réalisent une production marchande comme toutes les entreprises) qui n’ont par but premier de réaliser un profit (Chiffre d’affaire - coût total) :</w:t>
      </w:r>
    </w:p>
    <w:p>
      <w:pPr>
        <w:pStyle w:val="NoSpacing"/>
        <w:numPr>
          <w:ilvl w:val="0"/>
          <w:numId w:val="0"/>
        </w:numPr>
        <w:ind w:hanging="0" w:left="720"/>
        <w:rPr>
          <w:b w:val="false"/>
          <w:bCs w:val="false"/>
          <w:sz w:val="18"/>
          <w:szCs w:val="18"/>
        </w:rPr>
      </w:pPr>
      <w:r>
        <w:rPr>
          <w:b w:val="false"/>
          <w:bCs w:val="false"/>
          <w:sz w:val="18"/>
          <w:szCs w:val="18"/>
        </w:rPr>
        <w:t>- les entreprises en situation de monopole de service public comme la SNCF des années 50.  (voir plus haut)</w:t>
      </w:r>
    </w:p>
    <w:p>
      <w:pPr>
        <w:pStyle w:val="NoSpacing"/>
        <w:numPr>
          <w:ilvl w:val="0"/>
          <w:numId w:val="0"/>
        </w:numPr>
        <w:ind w:hanging="0" w:left="720"/>
        <w:rPr>
          <w:b w:val="false"/>
          <w:bCs w:val="false"/>
          <w:sz w:val="18"/>
          <w:szCs w:val="18"/>
        </w:rPr>
      </w:pPr>
      <w:r>
        <w:rPr>
          <w:b w:val="false"/>
          <w:bCs w:val="false"/>
          <w:sz w:val="18"/>
          <w:szCs w:val="18"/>
        </w:rPr>
        <w:t>- les entreprises de l’économie sociale et solidaire. Ces entreprises ont des priorités qui peuvent démocratiques (qui prend les décisions dans l’entreprise?) ou sociales/solidaires (que fait on du profit?). C’est le cas de coopératives (voir le cas des coopératives agricoles) mais aussi des mutuelles (utiliser le profit pour améliorer les prises en charges des adhérents ou développer les implantations locales par exemple). C’est aussi le cas de certaines entreprises de réinsertion qui utilisent une main d’œuvre fragile sur le marché du travail (situation de handicap, anciens détenus…) en échange d’un financement partagé avec l’État ou les collectivités locales.</w:t>
      </w:r>
    </w:p>
    <w:p>
      <w:pPr>
        <w:pStyle w:val="NoSpacing"/>
        <w:numPr>
          <w:ilvl w:val="0"/>
          <w:numId w:val="0"/>
        </w:numPr>
        <w:ind w:hanging="0" w:left="720"/>
        <w:rPr>
          <w:b w:val="false"/>
          <w:bCs w:val="false"/>
          <w:sz w:val="18"/>
          <w:szCs w:val="18"/>
        </w:rPr>
      </w:pPr>
      <w:r>
        <w:rPr>
          <w:b w:val="false"/>
          <w:bCs w:val="false"/>
          <w:sz w:val="18"/>
          <w:szCs w:val="18"/>
        </w:rPr>
        <w:t>Attention, il n’y a pas que des entreprises dans l’économie sociale et solidaire, il y a des associations et des fondations.</w:t>
      </w:r>
    </w:p>
    <w:p>
      <w:pPr>
        <w:pStyle w:val="NoSpacing"/>
        <w:numPr>
          <w:ilvl w:val="0"/>
          <w:numId w:val="8"/>
        </w:numPr>
        <w:rPr>
          <w:b w:val="false"/>
          <w:bCs w:val="false"/>
        </w:rPr>
      </w:pPr>
      <w:r>
        <w:rPr>
          <w:b w:val="false"/>
          <w:bCs w:val="false"/>
        </w:rPr>
        <w:t>Quelle différence y a -t-il entre une entreprise et une association ?.</w:t>
      </w:r>
    </w:p>
    <w:p>
      <w:pPr>
        <w:pStyle w:val="NoSpacing"/>
        <w:numPr>
          <w:ilvl w:val="0"/>
          <w:numId w:val="0"/>
        </w:numPr>
        <w:ind w:hanging="0" w:left="720"/>
        <w:rPr>
          <w:b w:val="false"/>
          <w:bCs w:val="false"/>
          <w:sz w:val="18"/>
          <w:szCs w:val="18"/>
        </w:rPr>
      </w:pPr>
      <w:r>
        <w:rPr>
          <w:b w:val="false"/>
          <w:bCs w:val="false"/>
          <w:sz w:val="18"/>
          <w:szCs w:val="18"/>
        </w:rPr>
        <w:t>Une entreprise réalise forcément une production marchande (prix &gt; 50 % du coût) alors que les associations réalisent forcément un production non marchande (pas de prix ou prix &lt;50 % du coût)</w:t>
      </w:r>
    </w:p>
    <w:p>
      <w:pPr>
        <w:pStyle w:val="NoSpacing"/>
        <w:numPr>
          <w:ilvl w:val="0"/>
          <w:numId w:val="9"/>
        </w:numPr>
        <w:rPr>
          <w:b w:val="false"/>
          <w:bCs w:val="false"/>
        </w:rPr>
      </w:pPr>
      <w:r>
        <w:rPr>
          <w:b w:val="false"/>
          <w:bCs w:val="false"/>
        </w:rPr>
        <w:t>Citez deux formes d’entreprises relevant de l’économie sociale et solidaire. Donnez un exemple de chaque.</w:t>
      </w:r>
    </w:p>
    <w:p>
      <w:pPr>
        <w:pStyle w:val="NoSpacing"/>
        <w:numPr>
          <w:ilvl w:val="0"/>
          <w:numId w:val="0"/>
        </w:numPr>
        <w:ind w:hanging="0" w:left="720"/>
        <w:rPr>
          <w:sz w:val="18"/>
          <w:szCs w:val="18"/>
        </w:rPr>
      </w:pPr>
      <w:r>
        <w:rPr>
          <w:b w:val="false"/>
          <w:bCs w:val="false"/>
          <w:sz w:val="18"/>
          <w:szCs w:val="18"/>
        </w:rPr>
        <w:t>Les coopératives. Nombreuses dans le domaine agricole. C’est une entité qui achète et revend des récoltes et qui permet aux agriculteurs coopérateurs d’associer leur récolte pour avoir de meilleurs conditions de négociation du prix. Chaque agriculteur cherche à faire du profit mais la coopérative n’a pas d’abord pour but une réalisation de profit. Il peut s’agir aussi de mettre du matériel lourd en commun en pratiquant un système de location pour les membres de la coopérative sans pour autant chercher le profit maximum.</w:t>
      </w:r>
    </w:p>
    <w:p>
      <w:pPr>
        <w:pStyle w:val="NoSpacing"/>
        <w:numPr>
          <w:ilvl w:val="0"/>
          <w:numId w:val="0"/>
        </w:numPr>
        <w:ind w:hanging="0" w:left="720"/>
        <w:rPr/>
      </w:pPr>
      <w:r>
        <w:rPr>
          <w:b w:val="false"/>
          <w:bCs w:val="false"/>
          <w:sz w:val="18"/>
          <w:szCs w:val="18"/>
        </w:rPr>
        <w:t>On peut aussi citer les mutuelles, nombreuses dans le domaine de l’assurance. Adhérer à une mutuelle n’est pas qu’une façon d’accéder à des remboursements santé mais permet aussi de participer aux décision à travers des votes.Là encore , le but n’est pas d’abord le profit même si ces structures sont capables de générer du profit. Attention, il y a des assurance non mutualistes qui fonctionnent comme des entreprises classiques à rechercher le profit max.</w:t>
      </w:r>
    </w:p>
    <w:p>
      <w:pPr>
        <w:pStyle w:val="NoSpacing"/>
        <w:numPr>
          <w:ilvl w:val="0"/>
          <w:numId w:val="10"/>
        </w:numPr>
        <w:rPr>
          <w:b w:val="false"/>
          <w:bCs w:val="false"/>
        </w:rPr>
      </w:pPr>
      <w:r>
        <w:rPr>
          <w:b w:val="false"/>
          <w:bCs w:val="false"/>
        </w:rPr>
        <w:t>Question d’actualité : la fondation Abbé Pierre va changer de nom. Pourquoi ?</w:t>
      </w:r>
    </w:p>
    <w:p>
      <w:pPr>
        <w:pStyle w:val="NoSpacing"/>
        <w:numPr>
          <w:ilvl w:val="0"/>
          <w:numId w:val="0"/>
        </w:numPr>
        <w:ind w:hanging="0" w:left="720"/>
        <w:rPr>
          <w:b w:val="false"/>
          <w:bCs w:val="false"/>
          <w:sz w:val="18"/>
          <w:szCs w:val="18"/>
        </w:rPr>
      </w:pPr>
      <w:r>
        <w:rPr>
          <w:b w:val="false"/>
          <w:bCs w:val="false"/>
          <w:sz w:val="18"/>
          <w:szCs w:val="18"/>
        </w:rPr>
        <w:t>Une fondation est une structure qui fonctionne en collectant des dons autour d’une cause souvent incarnée par une personnage médiatique ou reconnu. La fondation Abbé Pierre a étét lancée par l’Abbé pour lutter contre le mal logement. Les dernières révélations sur les agressions sexuelles commises par l’Abbé Pierre vont nuire à la capacité de la fondation à lever des fonds. D’où la nécessité de changer de nom ...</w:t>
      </w:r>
    </w:p>
    <w:p>
      <w:pPr>
        <w:pStyle w:val="NoSpacing"/>
        <w:numPr>
          <w:ilvl w:val="0"/>
          <w:numId w:val="11"/>
        </w:numPr>
        <w:rPr>
          <w:b w:val="false"/>
          <w:bCs w:val="false"/>
        </w:rPr>
      </w:pPr>
      <w:r>
        <w:rPr>
          <w:b w:val="false"/>
          <w:bCs w:val="false"/>
        </w:rPr>
        <w:t>Question de déduction : Les entreprises sont elles plutôt de grande taille ou de petite taille ?</w:t>
      </w:r>
    </w:p>
    <w:p>
      <w:pPr>
        <w:pStyle w:val="NoSpacing"/>
        <w:numPr>
          <w:ilvl w:val="0"/>
          <w:numId w:val="0"/>
        </w:numPr>
        <w:ind w:hanging="0" w:left="720"/>
        <w:rPr>
          <w:b w:val="false"/>
          <w:bCs w:val="false"/>
          <w:sz w:val="18"/>
          <w:szCs w:val="18"/>
        </w:rPr>
      </w:pPr>
      <w:r>
        <w:rPr>
          <w:b w:val="false"/>
          <w:bCs w:val="false"/>
          <w:sz w:val="18"/>
          <w:szCs w:val="18"/>
        </w:rPr>
        <w:t>Elles sont pour l’essentiel de toutes petites structures (des entreprise qui n’appartiennent qu’à une seule personne : des entreprises individuelles). C’est le petit commerçant, votre boulanger, votre boucher , les artisans … Au final, plus de 90% des entreprises sont de petites structures. Les grandes entreprises (Carrefour, Total, Renault ..) ne représente pas plus de 1 % du total des entreprises.</w:t>
      </w:r>
    </w:p>
    <w:p>
      <w:pPr>
        <w:pStyle w:val="NoSpacing"/>
        <w:numPr>
          <w:ilvl w:val="0"/>
          <w:numId w:val="0"/>
        </w:numPr>
        <w:ind w:hanging="0" w:left="720"/>
        <w:rPr>
          <w:b w:val="false"/>
          <w:bCs w:val="false"/>
          <w:sz w:val="18"/>
          <w:szCs w:val="18"/>
        </w:rPr>
      </w:pPr>
      <w:r>
        <w:rPr>
          <w:b w:val="false"/>
          <w:bCs w:val="false"/>
          <w:sz w:val="18"/>
          <w:szCs w:val="18"/>
        </w:rPr>
        <w:t>C’est par ailleurs logique : on ne lance pas de « toutes pièces » une grande entreprise. Une grande entreprise a été au début une petite structure qui est parvenue à survivre et à se développer.</w:t>
      </w:r>
    </w:p>
    <w:p>
      <w:pPr>
        <w:pStyle w:val="NoSpacing"/>
        <w:rPr>
          <w:b w:val="false"/>
          <w:bCs w:val="false"/>
        </w:rPr>
      </w:pPr>
      <w:r>
        <w:rPr>
          <w:b w:val="false"/>
          <w:bCs w:val="false"/>
        </w:rPr>
      </w:r>
    </w:p>
    <w:p>
      <w:pPr>
        <w:pStyle w:val="NoSpacing"/>
        <w:rPr>
          <w:b w:val="false"/>
          <w:bCs w:val="false"/>
        </w:rPr>
      </w:pPr>
      <w:r>
        <w:rPr>
          <w:b w:val="false"/>
          <w:bCs w:val="false"/>
        </w:rPr>
      </w:r>
    </w:p>
    <w:p>
      <w:pPr>
        <w:pStyle w:val="NoSpacing"/>
        <w:rPr>
          <w:b w:val="false"/>
          <w:bCs w:val="false"/>
        </w:rPr>
      </w:pPr>
      <w:r>
        <w:rPr>
          <w:b w:val="false"/>
          <w:bCs w:val="false"/>
        </w:rPr>
      </w:r>
    </w:p>
    <w:p>
      <w:pPr>
        <w:pStyle w:val="NoSpacing"/>
        <w:rPr/>
      </w:pPr>
      <w:r>
        <w:rPr/>
      </w:r>
    </w:p>
    <w:p>
      <w:pPr>
        <w:pStyle w:val="NoSpacing"/>
        <w:rPr/>
      </w:pPr>
      <w:r>
        <w:rPr/>
        <w:t>Document 2 : diversité des productions</w:t>
      </w:r>
    </w:p>
    <w:p>
      <w:pPr>
        <w:pStyle w:val="NoSpacing"/>
        <w:rPr/>
      </w:pPr>
      <w:r>
        <w:rPr/>
      </w:r>
    </w:p>
    <w:p>
      <w:pPr>
        <w:pStyle w:val="Standard"/>
        <w:rPr/>
      </w:pPr>
      <w:r>
        <mc:AlternateContent>
          <mc:Choice Requires="wps">
            <w:drawing>
              <wp:anchor behindDoc="0" distT="19050" distB="66675" distL="19050" distR="28575" simplePos="0" locked="0" layoutInCell="1" allowOverlap="1" relativeHeight="2" wp14:anchorId="293AB829">
                <wp:simplePos x="0" y="0"/>
                <wp:positionH relativeFrom="column">
                  <wp:posOffset>702310</wp:posOffset>
                </wp:positionH>
                <wp:positionV relativeFrom="paragraph">
                  <wp:posOffset>249555</wp:posOffset>
                </wp:positionV>
                <wp:extent cx="5000625" cy="2105025"/>
                <wp:effectExtent l="19685" t="19685" r="31115" b="41275"/>
                <wp:wrapNone/>
                <wp:docPr id="1" name="Forme libre : forme 167966911"/>
                <a:graphic xmlns:a="http://schemas.openxmlformats.org/drawingml/2006/main">
                  <a:graphicData uri="http://schemas.microsoft.com/office/word/2010/wordprocessingShape">
                    <wps:wsp>
                      <wps:cNvSpPr/>
                      <wps:spPr>
                        <a:xfrm>
                          <a:off x="0" y="0"/>
                          <a:ext cx="5000760" cy="2104920"/>
                        </a:xfrm>
                        <a:custGeom>
                          <a:avLst/>
                          <a:gdLst>
                            <a:gd name="textAreaLeft" fmla="*/ 415080 w 2835000"/>
                            <a:gd name="textAreaRight" fmla="*/ 2419920 w 2835000"/>
                            <a:gd name="textAreaTop" fmla="*/ 174600 h 1193400"/>
                            <a:gd name="textAreaBottom" fmla="*/ 1018800 h 1193400"/>
                          </a:gdLst>
                          <a:ahLst/>
                          <a:rect l="textAreaLeft" t="textAreaTop" r="textAreaRight" b="textAreaBottom"/>
                          <a:pathLst>
                            <a:path w="21600" h="21600">
                              <a:moveTo>
                                <a:pt x="10800" y="0"/>
                              </a:moveTo>
                              <a:arcTo wR="10800" hR="10800" stAng="-5400000" swAng="-21600000"/>
                              <a:close/>
                            </a:path>
                          </a:pathLst>
                        </a:custGeom>
                        <a:gradFill rotWithShape="0">
                          <a:gsLst>
                            <a:gs pos="0">
                              <a:srgbClr val="ffffff"/>
                            </a:gs>
                            <a:gs pos="100000">
                              <a:srgbClr val="858585"/>
                            </a:gs>
                          </a:gsLst>
                          <a:lin ang="5400000"/>
                        </a:gradFill>
                        <a:ln w="38160">
                          <a:solidFill>
                            <a:srgbClr val="f2f2f2"/>
                          </a:solidFill>
                          <a:miter/>
                        </a:ln>
                        <a:effectLst>
                          <a:outerShdw algn="tl" dir="3675612" dist="25455">
                            <a:srgbClr val="243f60">
                              <a:alpha val="50000"/>
                            </a:srgbClr>
                          </a:outerShdw>
                        </a:effectLst>
                      </wps:spPr>
                      <wps:style>
                        <a:lnRef idx="0"/>
                        <a:fillRef idx="0"/>
                        <a:effectRef idx="0"/>
                        <a:fontRef idx="minor"/>
                      </wps:style>
                      <wps:txbx>
                        <w:txbxContent>
                          <w:p>
                            <w:pPr>
                              <w:pStyle w:val="Contenudecadre"/>
                              <w:overflowPunct w:val="true"/>
                              <w:spacing w:lineRule="auto" w:line="276" w:before="0" w:after="200"/>
                              <w:rPr/>
                            </w:pPr>
                            <w:r>
                              <w:rPr>
                                <w:rFonts w:eastAsia="Calibri" w:cs="Calibri" w:ascii="Calibri" w:hAnsi="Calibri"/>
                                <w:sz w:val="22"/>
                                <w:szCs w:val="22"/>
                                <w:lang w:bidi="ar-SA"/>
                              </w:rPr>
                              <w:t>Production marchande                      production domestique</w:t>
                            </w:r>
                          </w:p>
                          <w:p>
                            <w:pPr>
                              <w:pStyle w:val="Contenudecadre"/>
                              <w:overflowPunct w:val="true"/>
                              <w:spacing w:lineRule="auto" w:line="276" w:before="0" w:after="200"/>
                              <w:rPr/>
                            </w:pPr>
                            <w:r>
                              <w:rPr/>
                            </w:r>
                          </w:p>
                          <w:p>
                            <w:pPr>
                              <w:pStyle w:val="Contenudecadre"/>
                              <w:overflowPunct w:val="true"/>
                              <w:spacing w:lineRule="auto" w:line="276" w:before="0" w:after="200"/>
                              <w:rPr/>
                            </w:pPr>
                            <w:r>
                              <w:rPr/>
                            </w:r>
                          </w:p>
                          <w:p>
                            <w:pPr>
                              <w:pStyle w:val="Contenudecadre"/>
                              <w:overflowPunct w:val="true"/>
                              <w:spacing w:lineRule="auto" w:line="276" w:before="0" w:after="200"/>
                              <w:rPr/>
                            </w:pPr>
                            <w:r>
                              <w:rPr>
                                <w:rFonts w:eastAsia="Calibri" w:cs="Calibri" w:ascii="Calibri" w:hAnsi="Calibri"/>
                                <w:sz w:val="22"/>
                                <w:szCs w:val="22"/>
                                <w:lang w:bidi="ar-SA"/>
                              </w:rPr>
                              <w:t>Production non marchande                       production illégale</w:t>
                            </w:r>
                          </w:p>
                          <w:p>
                            <w:pPr>
                              <w:pStyle w:val="Contenudecadre"/>
                              <w:overflowPunct w:val="true"/>
                              <w:spacing w:lineRule="auto" w:line="276" w:before="0" w:after="200"/>
                              <w:rPr/>
                            </w:pPr>
                            <w:r>
                              <w:rPr/>
                            </w:r>
                          </w:p>
                          <w:p>
                            <w:pPr>
                              <w:pStyle w:val="Contenudecadre"/>
                              <w:overflowPunct w:val="true"/>
                              <w:spacing w:lineRule="auto" w:line="276" w:before="0" w:after="200"/>
                              <w:rPr/>
                            </w:pPr>
                            <w:r>
                              <w:rPr/>
                            </w:r>
                          </w:p>
                          <w:p>
                            <w:pPr>
                              <w:pStyle w:val="Contenudecadre"/>
                              <w:overflowPunct w:val="true"/>
                              <w:spacing w:lineRule="auto" w:line="276" w:before="0" w:after="200"/>
                              <w:rPr/>
                            </w:pPr>
                            <w:r>
                              <w:rPr/>
                            </w:r>
                          </w:p>
                          <w:p>
                            <w:pPr>
                              <w:pStyle w:val="Contenudecadre"/>
                              <w:overflowPunct w:val="true"/>
                              <w:spacing w:lineRule="auto" w:line="276" w:before="0" w:after="200"/>
                              <w:rPr/>
                            </w:pPr>
                            <w:r>
                              <w:rPr/>
                            </w:r>
                          </w:p>
                          <w:p>
                            <w:pPr>
                              <w:pStyle w:val="Contenudecadre"/>
                              <w:overflowPunct w:val="true"/>
                              <w:spacing w:lineRule="auto" w:line="276" w:before="0" w:after="200"/>
                              <w:rPr/>
                            </w:pPr>
                            <w:r>
                              <w:rPr/>
                            </w:r>
                          </w:p>
                          <w:p>
                            <w:pPr>
                              <w:pStyle w:val="Contenudecadre"/>
                              <w:overflowPunct w:val="true"/>
                              <w:spacing w:lineRule="auto" w:line="276" w:before="0" w:after="200"/>
                              <w:rPr/>
                            </w:pPr>
                            <w:r>
                              <w:rPr/>
                            </w:r>
                          </w:p>
                          <w:p>
                            <w:pPr>
                              <w:pStyle w:val="Contenudecadre"/>
                              <w:overflowPunct w:val="true"/>
                              <w:spacing w:lineRule="auto" w:line="276" w:before="0" w:after="200"/>
                              <w:rPr/>
                            </w:pPr>
                            <w:r>
                              <w:rPr/>
                            </w:r>
                          </w:p>
                          <w:p>
                            <w:pPr>
                              <w:pStyle w:val="Contenudecadre"/>
                              <w:overflowPunct w:val="true"/>
                              <w:spacing w:lineRule="auto" w:line="276" w:before="0" w:after="200"/>
                              <w:rPr/>
                            </w:pPr>
                            <w:r>
                              <w:rPr/>
                            </w:r>
                          </w:p>
                          <w:p>
                            <w:pPr>
                              <w:pStyle w:val="Contenudecadre"/>
                              <w:overflowPunct w:val="true"/>
                              <w:spacing w:lineRule="auto" w:line="276" w:before="0" w:after="200"/>
                              <w:rPr/>
                            </w:pPr>
                            <w:r>
                              <w:rPr/>
                            </w:r>
                          </w:p>
                          <w:p>
                            <w:pPr>
                              <w:pStyle w:val="Contenudecadre"/>
                              <w:overflowPunct w:val="true"/>
                              <w:spacing w:lineRule="auto" w:line="276" w:before="0" w:after="200"/>
                              <w:rPr/>
                            </w:pPr>
                            <w:r>
                              <w:rPr/>
                            </w:r>
                          </w:p>
                          <w:p>
                            <w:pPr>
                              <w:pStyle w:val="Contenudecadre"/>
                              <w:overflowPunct w:val="true"/>
                              <w:spacing w:lineRule="auto" w:line="276" w:before="0" w:after="200"/>
                              <w:rPr/>
                            </w:pPr>
                            <w:r>
                              <w:rPr/>
                            </w:r>
                          </w:p>
                          <w:p>
                            <w:pPr>
                              <w:pStyle w:val="Contenudecadre"/>
                              <w:overflowPunct w:val="true"/>
                              <w:spacing w:lineRule="auto" w:line="276" w:before="0" w:after="200"/>
                              <w:rPr/>
                            </w:pPr>
                            <w:r>
                              <w:rPr/>
                            </w:r>
                          </w:p>
                        </w:txbxContent>
                      </wps:txbx>
                      <wps:bodyPr anchor="t">
                        <a:noAutofit/>
                      </wps:bodyPr>
                    </wps:wsp>
                  </a:graphicData>
                </a:graphic>
              </wp:anchor>
            </w:drawing>
          </mc:Choice>
          <mc:Fallback>
            <w:pict/>
          </mc:Fallback>
        </mc:AlternateContent>
        <mc:AlternateContent>
          <mc:Choice Requires="wps">
            <w:drawing>
              <wp:anchor behindDoc="0" distT="0" distB="27940" distL="0" distR="35560" simplePos="0" locked="0" layoutInCell="1" allowOverlap="1" relativeHeight="4" wp14:anchorId="41B612FD">
                <wp:simplePos x="0" y="0"/>
                <wp:positionH relativeFrom="column">
                  <wp:posOffset>3430905</wp:posOffset>
                </wp:positionH>
                <wp:positionV relativeFrom="paragraph">
                  <wp:posOffset>249555</wp:posOffset>
                </wp:positionV>
                <wp:extent cx="40640" cy="2105660"/>
                <wp:effectExtent l="5080" t="635" r="5715" b="1270"/>
                <wp:wrapNone/>
                <wp:docPr id="2" name="Connecteur droit avec flèche 846910979"/>
                <a:graphic xmlns:a="http://schemas.openxmlformats.org/drawingml/2006/main">
                  <a:graphicData uri="http://schemas.microsoft.com/office/word/2010/wordprocessingShape">
                    <wps:wsp>
                      <wps:cNvSpPr/>
                      <wps:spPr>
                        <a:xfrm>
                          <a:off x="0" y="0"/>
                          <a:ext cx="40680" cy="2105640"/>
                        </a:xfrm>
                        <a:prstGeom prst="straightConnector1">
                          <a:avLst/>
                        </a:prstGeom>
                        <a:noFill/>
                        <a:ln w="9360">
                          <a:solidFill>
                            <a:srgbClr val="000000"/>
                          </a:solidFill>
                          <a:miter/>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Connecteur droit avec flèche 846910979" path="m0,0l-2147483648,-2147483647e" stroked="t" o:allowincell="f" style="position:absolute;margin-left:270.15pt;margin-top:19.65pt;width:3.15pt;height:165.75pt;mso-wrap-style:none;v-text-anchor:middle" wp14:anchorId="41B612FD" type="_x0000_t32">
                <v:fill o:detectmouseclick="t" on="false"/>
                <v:stroke color="black" weight="9360" joinstyle="miter" endcap="flat"/>
                <w10:wrap type="none"/>
              </v:shape>
            </w:pict>
          </mc:Fallback>
        </mc:AlternateContent>
      </w:r>
      <w:r>
        <w:rPr>
          <w:b/>
          <w:sz w:val="20"/>
          <w:szCs w:val="20"/>
        </w:rPr>
        <w:t>Biens et services marchands :</w:t>
      </w:r>
      <w:r>
        <w:rPr>
          <w:sz w:val="20"/>
          <w:szCs w:val="20"/>
        </w:rPr>
        <w:t xml:space="preserve"> production matérielle et immatérielle que l’on échange contre un prix de vente.</w:t>
      </w:r>
    </w:p>
    <w:p>
      <w:pPr>
        <w:pStyle w:val="Standard"/>
        <w:ind w:left="720"/>
        <w:rPr>
          <w:sz w:val="20"/>
          <w:szCs w:val="20"/>
        </w:rPr>
      </w:pPr>
      <w:r>
        <w:rPr>
          <w:sz w:val="20"/>
          <w:szCs w:val="20"/>
        </w:rPr>
      </w:r>
    </w:p>
    <w:p>
      <w:pPr>
        <w:pStyle w:val="Standard"/>
        <w:ind w:left="720"/>
        <w:rPr>
          <w:sz w:val="20"/>
          <w:szCs w:val="20"/>
        </w:rPr>
      </w:pPr>
      <w:r>
        <w:rPr>
          <w:sz w:val="20"/>
          <w:szCs w:val="20"/>
        </w:rPr>
      </w:r>
    </w:p>
    <w:p>
      <w:pPr>
        <w:pStyle w:val="Standard"/>
        <w:ind w:left="720"/>
        <w:rPr>
          <w:sz w:val="20"/>
          <w:szCs w:val="20"/>
        </w:rPr>
      </w:pPr>
      <w:r>
        <w:rPr>
          <w:sz w:val="20"/>
          <w:szCs w:val="20"/>
        </w:rPr>
      </w:r>
    </w:p>
    <w:p>
      <w:pPr>
        <w:pStyle w:val="Standard"/>
        <w:ind w:left="720"/>
        <w:rPr>
          <w:sz w:val="20"/>
          <w:szCs w:val="20"/>
        </w:rPr>
      </w:pPr>
      <w:r>
        <w:rPr>
          <w:sz w:val="20"/>
          <w:szCs w:val="20"/>
        </w:rPr>
        <mc:AlternateContent>
          <mc:Choice Requires="wps">
            <w:drawing>
              <wp:anchor behindDoc="0" distT="0" distB="36195" distL="0" distR="27940" simplePos="0" locked="0" layoutInCell="1" allowOverlap="1" relativeHeight="5" wp14:anchorId="776B892D">
                <wp:simplePos x="0" y="0"/>
                <wp:positionH relativeFrom="column">
                  <wp:posOffset>701675</wp:posOffset>
                </wp:positionH>
                <wp:positionV relativeFrom="paragraph">
                  <wp:posOffset>27940</wp:posOffset>
                </wp:positionV>
                <wp:extent cx="5001260" cy="20955"/>
                <wp:effectExtent l="635" t="5715" r="1270" b="5080"/>
                <wp:wrapNone/>
                <wp:docPr id="3" name="Connecteur droit avec flèche 260743945"/>
                <a:graphic xmlns:a="http://schemas.openxmlformats.org/drawingml/2006/main">
                  <a:graphicData uri="http://schemas.microsoft.com/office/word/2010/wordprocessingShape">
                    <wps:wsp>
                      <wps:cNvSpPr/>
                      <wps:spPr>
                        <a:xfrm flipV="1">
                          <a:off x="0" y="0"/>
                          <a:ext cx="5001120" cy="20880"/>
                        </a:xfrm>
                        <a:prstGeom prst="straightConnector1">
                          <a:avLst/>
                        </a:prstGeom>
                        <a:noFill/>
                        <a:ln w="9360">
                          <a:solidFill>
                            <a:srgbClr val="000000"/>
                          </a:solidFill>
                          <a:miter/>
                        </a:ln>
                      </wps:spPr>
                      <wps:style>
                        <a:lnRef idx="0"/>
                        <a:fillRef idx="0"/>
                        <a:effectRef idx="0"/>
                        <a:fontRef idx="minor"/>
                      </wps:style>
                      <wps:bodyPr/>
                    </wps:wsp>
                  </a:graphicData>
                </a:graphic>
              </wp:anchor>
            </w:drawing>
          </mc:Choice>
          <mc:Fallback>
            <w:pict>
              <v:shape id="shape_0" ID="Connecteur droit avec flèche 260743945" path="m0,0l-2147483648,-2147483647e" stroked="t" o:allowincell="f" style="position:absolute;margin-left:55.25pt;margin-top:2.2pt;width:393.75pt;height:1.6pt;flip:y;mso-wrap-style:none;v-text-anchor:middle" wp14:anchorId="776B892D" type="_x0000_t32">
                <v:fill o:detectmouseclick="t" on="false"/>
                <v:stroke color="black" weight="9360" joinstyle="miter" endcap="flat"/>
                <w10:wrap type="none"/>
              </v:shape>
            </w:pict>
          </mc:Fallback>
        </mc:AlternateContent>
      </w:r>
    </w:p>
    <w:p>
      <w:pPr>
        <w:pStyle w:val="Standard"/>
        <w:ind w:left="720"/>
        <w:rPr>
          <w:sz w:val="20"/>
          <w:szCs w:val="20"/>
        </w:rPr>
      </w:pPr>
      <w:r>
        <w:rPr>
          <w:sz w:val="20"/>
          <w:szCs w:val="20"/>
        </w:rPr>
      </w:r>
    </w:p>
    <w:p>
      <w:pPr>
        <w:pStyle w:val="Standard"/>
        <w:ind w:left="720"/>
        <w:rPr>
          <w:sz w:val="20"/>
          <w:szCs w:val="20"/>
        </w:rPr>
      </w:pPr>
      <w:r>
        <w:rPr>
          <w:sz w:val="20"/>
          <w:szCs w:val="20"/>
        </w:rPr>
      </w:r>
    </w:p>
    <w:p>
      <w:pPr>
        <w:pStyle w:val="Standard"/>
        <w:spacing w:lineRule="auto" w:line="240" w:before="280" w:after="280"/>
        <w:rPr>
          <w:rFonts w:ascii="Arial" w:hAnsi="Arial" w:eastAsia="Times New Roman" w:cs="Arial"/>
          <w:sz w:val="24"/>
          <w:szCs w:val="24"/>
        </w:rPr>
      </w:pPr>
      <w:r>
        <w:rPr>
          <w:rFonts w:eastAsia="Times New Roman" w:cs="Arial" w:ascii="Arial" w:hAnsi="Arial"/>
          <w:sz w:val="24"/>
          <w:szCs w:val="24"/>
        </w:rPr>
        <mc:AlternateContent>
          <mc:Choice Requires="wps">
            <w:drawing>
              <wp:anchor behindDoc="0" distT="0" distB="18415" distL="0" distR="18415" simplePos="0" locked="0" layoutInCell="1" allowOverlap="1" relativeHeight="6" wp14:anchorId="3DED5752">
                <wp:simplePos x="0" y="0"/>
                <wp:positionH relativeFrom="column">
                  <wp:posOffset>1878330</wp:posOffset>
                </wp:positionH>
                <wp:positionV relativeFrom="paragraph">
                  <wp:posOffset>-794385</wp:posOffset>
                </wp:positionV>
                <wp:extent cx="361950" cy="2609850"/>
                <wp:effectExtent l="5080" t="635" r="5715" b="0"/>
                <wp:wrapNone/>
                <wp:docPr id="4" name="Forme libre : forme 479391147"/>
                <a:graphic xmlns:a="http://schemas.openxmlformats.org/drawingml/2006/main">
                  <a:graphicData uri="http://schemas.microsoft.com/office/word/2010/wordprocessingShape">
                    <wps:wsp>
                      <wps:cNvSpPr/>
                      <wps:spPr>
                        <a:xfrm rot="16200000">
                          <a:off x="0" y="0"/>
                          <a:ext cx="361800" cy="2610000"/>
                        </a:xfrm>
                        <a:custGeom>
                          <a:avLst/>
                          <a:gdLst>
                            <a:gd name="textAreaLeft" fmla="*/ 131040 w 205200"/>
                            <a:gd name="textAreaRight" fmla="*/ 205560 w 205200"/>
                            <a:gd name="textAreaTop" fmla="*/ 38520 h 1479600"/>
                            <a:gd name="textAreaBottom" fmla="*/ 1441080 h 1479600"/>
                          </a:gdLst>
                          <a:ah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noFill/>
                        <a:ln w="9360">
                          <a:solidFill>
                            <a:srgbClr val="000000"/>
                          </a:solidFill>
                          <a:miter/>
                        </a:ln>
                      </wps:spPr>
                      <wps:style>
                        <a:lnRef idx="0"/>
                        <a:fillRef idx="0"/>
                        <a:effectRef idx="0"/>
                        <a:fontRef idx="minor"/>
                      </wps:style>
                      <wps:txbx>
                        <w:txbxContent>
                          <w:p>
                            <w:pPr>
                              <w:pStyle w:val="Contenudecadre"/>
                              <w:rPr/>
                            </w:pPr>
                            <w:r>
                              <w:rPr/>
                            </w:r>
                          </w:p>
                        </w:txbxContent>
                      </wps:txbx>
                      <wps:bodyPr lIns="158760" rIns="158760" tIns="82440" bIns="82440" anchor="ctr">
                        <a:noAutofit/>
                      </wps:bodyPr>
                    </wps:wsp>
                  </a:graphicData>
                </a:graphic>
              </wp:anchor>
            </w:drawing>
          </mc:Choice>
          <mc:Fallback>
            <w:pict/>
          </mc:Fallback>
        </mc:AlternateContent>
        <mc:AlternateContent>
          <mc:Choice Requires="wps">
            <w:drawing>
              <wp:anchor behindDoc="0" distT="0" distB="18415" distL="0" distR="18415" simplePos="0" locked="0" layoutInCell="1" allowOverlap="1" relativeHeight="8" wp14:anchorId="6E078F70">
                <wp:simplePos x="0" y="0"/>
                <wp:positionH relativeFrom="column">
                  <wp:posOffset>4507230</wp:posOffset>
                </wp:positionH>
                <wp:positionV relativeFrom="paragraph">
                  <wp:posOffset>-641985</wp:posOffset>
                </wp:positionV>
                <wp:extent cx="361950" cy="2343785"/>
                <wp:effectExtent l="5715" t="635" r="5080" b="0"/>
                <wp:wrapNone/>
                <wp:docPr id="5" name="Forme libre : forme 2027591247"/>
                <a:graphic xmlns:a="http://schemas.openxmlformats.org/drawingml/2006/main">
                  <a:graphicData uri="http://schemas.microsoft.com/office/word/2010/wordprocessingShape">
                    <wps:wsp>
                      <wps:cNvSpPr/>
                      <wps:spPr>
                        <a:xfrm rot="16200000">
                          <a:off x="0" y="0"/>
                          <a:ext cx="361800" cy="2343960"/>
                        </a:xfrm>
                        <a:custGeom>
                          <a:avLst/>
                          <a:gdLst>
                            <a:gd name="textAreaLeft" fmla="*/ 131040 w 205200"/>
                            <a:gd name="textAreaRight" fmla="*/ 205560 w 205200"/>
                            <a:gd name="textAreaTop" fmla="*/ 34560 h 1328760"/>
                            <a:gd name="textAreaBottom" fmla="*/ 1294200 h 1328760"/>
                          </a:gdLst>
                          <a:ah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noFill/>
                        <a:ln w="9360">
                          <a:solidFill>
                            <a:srgbClr val="000000"/>
                          </a:solidFill>
                          <a:miter/>
                        </a:ln>
                      </wps:spPr>
                      <wps:style>
                        <a:lnRef idx="0"/>
                        <a:fillRef idx="0"/>
                        <a:effectRef idx="0"/>
                        <a:fontRef idx="minor"/>
                      </wps:style>
                      <wps:txbx>
                        <w:txbxContent>
                          <w:p>
                            <w:pPr>
                              <w:pStyle w:val="Contenudecadre"/>
                              <w:rPr/>
                            </w:pPr>
                            <w:r>
                              <w:rPr/>
                            </w:r>
                          </w:p>
                        </w:txbxContent>
                      </wps:txbx>
                      <wps:bodyPr lIns="158760" rIns="158760" tIns="82440" bIns="82440" anchor="ctr">
                        <a:noAutofit/>
                      </wps:bodyPr>
                    </wps:wsp>
                  </a:graphicData>
                </a:graphic>
              </wp:anchor>
            </w:drawing>
          </mc:Choice>
          <mc:Fallback>
            <w:pict/>
          </mc:Fallback>
        </mc:AlternateContent>
      </w:r>
    </w:p>
    <w:p>
      <w:pPr>
        <w:pStyle w:val="Standard"/>
        <w:spacing w:lineRule="auto" w:line="240" w:before="280" w:after="280"/>
        <w:rPr>
          <w:rFonts w:ascii="Arial" w:hAnsi="Arial" w:eastAsia="Times New Roman" w:cs="Arial"/>
          <w:sz w:val="24"/>
          <w:szCs w:val="24"/>
          <w:lang w:eastAsia="fr-FR"/>
        </w:rPr>
      </w:pPr>
      <w:r>
        <w:rPr>
          <w:rFonts w:eastAsia="Times New Roman" w:cs="Arial" w:ascii="Arial" w:hAnsi="Arial"/>
          <w:sz w:val="24"/>
          <w:szCs w:val="24"/>
          <w:lang w:eastAsia="fr-FR"/>
        </w:rPr>
      </w:r>
    </w:p>
    <w:p>
      <w:pPr>
        <w:pStyle w:val="Standard"/>
        <w:spacing w:lineRule="auto" w:line="240" w:before="280" w:after="280"/>
        <w:jc w:val="right"/>
        <w:rPr>
          <w:rFonts w:ascii="Arial" w:hAnsi="Arial" w:eastAsia="Times New Roman" w:cs="Arial"/>
          <w:sz w:val="24"/>
          <w:szCs w:val="24"/>
          <w:lang w:eastAsia="fr-FR"/>
        </w:rPr>
      </w:pPr>
      <w:r>
        <w:rPr>
          <w:rFonts w:eastAsia="Times New Roman" w:cs="Arial" w:ascii="Arial" w:hAnsi="Arial"/>
          <w:sz w:val="24"/>
          <w:szCs w:val="24"/>
          <w:lang w:eastAsia="fr-FR"/>
        </w:rPr>
        <w:t>Production comptabilisée par les économistes           production non comptabilisée par les              économistes</w:t>
      </w:r>
    </w:p>
    <w:p>
      <w:pPr>
        <w:pStyle w:val="Standard"/>
        <w:spacing w:lineRule="auto" w:line="240" w:before="280" w:after="280"/>
        <w:jc w:val="right"/>
        <w:rPr>
          <w:rFonts w:ascii="Arial" w:hAnsi="Arial" w:eastAsia="Times New Roman" w:cs="Arial"/>
          <w:sz w:val="24"/>
          <w:szCs w:val="24"/>
          <w:lang w:eastAsia="fr-FR"/>
        </w:rPr>
      </w:pPr>
      <w:r>
        <w:rPr>
          <w:rFonts w:eastAsia="Times New Roman" w:cs="Arial" w:ascii="Arial" w:hAnsi="Arial"/>
          <w:sz w:val="24"/>
          <w:szCs w:val="24"/>
          <w:lang w:eastAsia="fr-FR"/>
        </w:rPr>
      </w:r>
    </w:p>
    <w:p>
      <w:pPr>
        <w:pStyle w:val="NoSpacing"/>
        <w:numPr>
          <w:ilvl w:val="0"/>
          <w:numId w:val="12"/>
        </w:numPr>
        <w:rPr>
          <w:b w:val="false"/>
          <w:bCs w:val="false"/>
        </w:rPr>
      </w:pPr>
      <w:r>
        <w:rPr>
          <w:b w:val="false"/>
          <w:bCs w:val="false"/>
        </w:rPr>
        <w:t>Un professeur produit-il quelque chose ? La preuve ?</w:t>
      </w:r>
    </w:p>
    <w:p>
      <w:pPr>
        <w:pStyle w:val="NoSpacing"/>
        <w:numPr>
          <w:ilvl w:val="0"/>
          <w:numId w:val="0"/>
        </w:numPr>
        <w:ind w:hanging="0" w:left="720"/>
        <w:rPr>
          <w:b w:val="false"/>
          <w:bCs w:val="false"/>
          <w:sz w:val="18"/>
          <w:szCs w:val="18"/>
        </w:rPr>
      </w:pPr>
      <w:r>
        <w:rPr>
          <w:b w:val="false"/>
          <w:bCs w:val="false"/>
          <w:sz w:val="18"/>
          <w:szCs w:val="18"/>
        </w:rPr>
        <w:t>Il produit un service non marchand d’éducation. C’est un fonctionnaire payé par l’État c’est à dire par les impôts pour réaliser une mission d’éducation. L’État est son employeur comme pour la police nationale, l’armée, …</w:t>
      </w:r>
    </w:p>
    <w:p>
      <w:pPr>
        <w:pStyle w:val="NoSpacing"/>
        <w:numPr>
          <w:ilvl w:val="0"/>
          <w:numId w:val="0"/>
        </w:numPr>
        <w:ind w:hanging="0" w:left="720"/>
        <w:rPr>
          <w:b w:val="false"/>
          <w:bCs w:val="false"/>
          <w:sz w:val="18"/>
          <w:szCs w:val="18"/>
        </w:rPr>
      </w:pPr>
      <w:r>
        <w:rPr>
          <w:b w:val="false"/>
          <w:bCs w:val="false"/>
          <w:sz w:val="18"/>
          <w:szCs w:val="18"/>
        </w:rPr>
        <w:t xml:space="preserve">Le signe de cette production, c’est que le professeur a une paye en contrepartie du travail fourni. </w:t>
      </w:r>
    </w:p>
    <w:p>
      <w:pPr>
        <w:pStyle w:val="NoSpacing"/>
        <w:numPr>
          <w:ilvl w:val="0"/>
          <w:numId w:val="13"/>
        </w:numPr>
        <w:rPr>
          <w:b w:val="false"/>
          <w:bCs w:val="false"/>
        </w:rPr>
      </w:pPr>
      <w:r>
        <w:rPr>
          <w:b w:val="false"/>
          <w:bCs w:val="false"/>
        </w:rPr>
        <w:t>A quel(s) type(s) de production(s) correspond le fait de faire la vaisselle ?</w:t>
      </w:r>
    </w:p>
    <w:p>
      <w:pPr>
        <w:pStyle w:val="NoSpacing"/>
        <w:numPr>
          <w:ilvl w:val="0"/>
          <w:numId w:val="0"/>
        </w:numPr>
        <w:ind w:hanging="0" w:left="720"/>
        <w:rPr>
          <w:b w:val="false"/>
          <w:bCs w:val="false"/>
          <w:sz w:val="18"/>
          <w:szCs w:val="18"/>
        </w:rPr>
      </w:pPr>
      <w:r>
        <w:rPr>
          <w:b w:val="false"/>
          <w:bCs w:val="false"/>
          <w:sz w:val="18"/>
          <w:szCs w:val="18"/>
        </w:rPr>
        <w:t>C’est une forme de production domestique, réalisée « à la maison », (domos) et non prise en compte par les économistes. Cette production ne sera pas comptabilisée dans le Produit Intérieur Brut parce que non mesurée, non déclarée. Si, par contre , vous faites faire à une femme de ménage (déclarée) cette même tâche, la valeur crée lors de la, production sera comptabilisée par les économistes et donc comptabilisée dans le PIB.</w:t>
      </w:r>
    </w:p>
    <w:p>
      <w:pPr>
        <w:pStyle w:val="NoSpacing"/>
        <w:numPr>
          <w:ilvl w:val="0"/>
          <w:numId w:val="0"/>
        </w:numPr>
        <w:ind w:hanging="0" w:left="720"/>
        <w:rPr>
          <w:b w:val="false"/>
          <w:bCs w:val="false"/>
          <w:sz w:val="18"/>
          <w:szCs w:val="18"/>
        </w:rPr>
      </w:pPr>
      <w:r>
        <w:rPr>
          <w:b w:val="false"/>
          <w:bCs w:val="false"/>
          <w:sz w:val="18"/>
          <w:szCs w:val="18"/>
        </w:rPr>
        <w:t>Note : Le PIB enregistre la richesse crée dans un pays pendant une année donnée. Plus le PIB par habitant est élevé plus on considère que le pays est riche. Dans ce PIB n’est pris en compte , au départ, que la production  marchande (celle réalisée par les entreprises) et non marchande (c’est à dire la valeur des services produits par l’État et les associations) c’est à dire la production comptabilisée par les économistes. On n’y trouve ni la production domestique ni les productions illégales. Ce qui signifie que les pays dans lesquels de nombreuses activités se font au sein des familles (et pas à l ‘extérieur ») comme la garde des enfants, la restauration, … ont un PIB sous évalué par rapport à la production réellement réalisée.</w:t>
      </w:r>
    </w:p>
    <w:p>
      <w:pPr>
        <w:pStyle w:val="NoSpacing"/>
        <w:numPr>
          <w:ilvl w:val="0"/>
          <w:numId w:val="0"/>
        </w:numPr>
        <w:ind w:hanging="0" w:left="720"/>
        <w:rPr>
          <w:b w:val="false"/>
          <w:bCs w:val="false"/>
          <w:sz w:val="18"/>
          <w:szCs w:val="18"/>
        </w:rPr>
      </w:pPr>
      <w:r>
        <w:rPr>
          <w:b w:val="false"/>
          <w:bCs w:val="false"/>
          <w:sz w:val="18"/>
          <w:szCs w:val="18"/>
        </w:rPr>
        <w:t>Le PIB n’est donc qu’une mesure particulière de la richesse, que l’on peut en partie contester (on considère ici que la question de la production domestique ne fait pas grande différence et donc, on accepte de ne pas la comptabiliser). C’est une convention, relative, que l’on peut modifier si un accord collectif émerge. L’important , c’est que le PIB permette des comparaisons entre pays et dans le temps. Pour cela,il faut un accord collectif sur ce que l’on compte dans le PIB.</w:t>
      </w:r>
    </w:p>
    <w:p>
      <w:pPr>
        <w:pStyle w:val="NoSpacing"/>
        <w:numPr>
          <w:ilvl w:val="0"/>
          <w:numId w:val="0"/>
        </w:numPr>
        <w:ind w:hanging="0" w:left="720"/>
        <w:rPr>
          <w:b w:val="false"/>
          <w:bCs w:val="false"/>
          <w:sz w:val="18"/>
          <w:szCs w:val="18"/>
        </w:rPr>
      </w:pPr>
      <w:r>
        <w:rPr>
          <w:b w:val="false"/>
          <w:bCs w:val="false"/>
          <w:sz w:val="18"/>
          <w:szCs w:val="18"/>
        </w:rPr>
        <w:t>De ce point de vue, certaines activités sont illégales dans certains pays et pas dans d’autres : prostitution, trafic de stupéfiant .  Dans les pays où la légalisation a eu lieu, ces activités de service sont comptabilisées dans le PIB comme des services marchands. Depuis quelques années, les pays qui n’ont pas légalisé (comme la France ) intègrent à leur PIB une estimation d’une partie de ces trafics pour permettre une comparaison entre pays. Ces productions n’en restent pas moins illégales… mais sont en partie enregistrées par les économistes. Le travail non déclaré, qui concerne des activités légales réalisées illégalement (sans déclaration à l’URSAF, la caisse qui collecte une partie des cotisations sociales) n’est pas comptabilisé dans le PIB. Il pèse pourtant, dans les estimations, pas loin de 15 % du PIB.</w:t>
      </w:r>
    </w:p>
    <w:p>
      <w:pPr>
        <w:pStyle w:val="NoSpacing"/>
        <w:numPr>
          <w:ilvl w:val="0"/>
          <w:numId w:val="0"/>
        </w:numPr>
        <w:ind w:hanging="0" w:left="720"/>
        <w:rPr>
          <w:b w:val="false"/>
          <w:bCs w:val="false"/>
          <w:sz w:val="18"/>
          <w:szCs w:val="18"/>
        </w:rPr>
      </w:pPr>
      <w:r>
        <w:rPr>
          <w:b w:val="false"/>
          <w:bCs w:val="false"/>
          <w:sz w:val="18"/>
          <w:szCs w:val="18"/>
        </w:rPr>
      </w:r>
    </w:p>
    <w:p>
      <w:pPr>
        <w:pStyle w:val="NoSpacing"/>
        <w:numPr>
          <w:ilvl w:val="0"/>
          <w:numId w:val="0"/>
        </w:numPr>
        <w:ind w:hanging="0" w:left="720"/>
        <w:rPr>
          <w:b w:val="false"/>
          <w:bCs w:val="false"/>
          <w:sz w:val="18"/>
          <w:szCs w:val="18"/>
        </w:rPr>
      </w:pPr>
      <w:r>
        <w:rPr>
          <w:b w:val="false"/>
          <w:bCs w:val="false"/>
          <w:sz w:val="18"/>
          <w:szCs w:val="18"/>
        </w:rPr>
      </w:r>
    </w:p>
    <w:p>
      <w:pPr>
        <w:pStyle w:val="NoSpacing"/>
        <w:numPr>
          <w:ilvl w:val="0"/>
          <w:numId w:val="14"/>
        </w:numPr>
        <w:rPr>
          <w:b w:val="false"/>
          <w:bCs w:val="false"/>
        </w:rPr>
      </w:pPr>
      <w:r>
        <w:rPr>
          <w:b w:val="false"/>
          <w:bCs w:val="false"/>
        </w:rPr>
        <w:t>Donnez un exemple pour chaque type de production</w:t>
      </w:r>
    </w:p>
    <w:p>
      <w:pPr>
        <w:pStyle w:val="NoSpacing"/>
        <w:ind w:left="720"/>
        <w:rPr/>
      </w:pPr>
      <w:r>
        <w:rPr/>
      </w:r>
    </w:p>
    <w:p>
      <w:pPr>
        <w:pStyle w:val="Standard"/>
        <w:ind w:left="720"/>
        <w:rPr/>
      </w:pPr>
      <w:r>
        <w:rPr>
          <w:rFonts w:cs="Arial" w:ascii="Arial" w:hAnsi="Arial"/>
          <w:b/>
          <w:sz w:val="24"/>
          <w:szCs w:val="24"/>
        </w:rPr>
        <w:t>Bilan : complétez le texte avec les mots/expression suivantes</w:t>
      </w:r>
      <w:r>
        <w:rPr>
          <w:rFonts w:cs="Arial" w:ascii="Arial" w:hAnsi="Arial"/>
          <w:sz w:val="24"/>
          <w:szCs w:val="24"/>
        </w:rPr>
        <w:t xml:space="preserve">, </w:t>
      </w:r>
      <w:r>
        <w:rPr>
          <w:rFonts w:cs="Arial" w:ascii="Arial" w:hAnsi="Arial"/>
          <w:i/>
          <w:iCs/>
          <w:sz w:val="24"/>
          <w:szCs w:val="24"/>
        </w:rPr>
        <w:t>les associations, les entreprises , domestique , grandes ,  l’économie sociale et solidaire , les ménages l’impôt , biens, l’Etat , services non marchands, services ,  biens et services marchands, marchande , petites , non marchande ,</w:t>
      </w:r>
    </w:p>
    <w:p>
      <w:pPr>
        <w:pStyle w:val="Standard"/>
        <w:ind w:left="720"/>
        <w:rPr>
          <w:rFonts w:ascii="Arial" w:hAnsi="Arial" w:cs="Arial"/>
          <w:sz w:val="20"/>
          <w:szCs w:val="20"/>
        </w:rPr>
      </w:pPr>
      <w:r>
        <w:rPr>
          <w:rFonts w:cs="Arial" w:ascii="Arial" w:hAnsi="Arial"/>
          <w:sz w:val="20"/>
          <w:szCs w:val="20"/>
        </w:rPr>
        <w:t>La production d</w:t>
      </w:r>
      <w:r>
        <w:rPr>
          <w:rFonts w:cs="Arial" w:ascii="Arial" w:hAnsi="Arial"/>
          <w:sz w:val="20"/>
          <w:szCs w:val="20"/>
        </w:rPr>
        <w:t xml:space="preserve">e biens </w:t>
      </w:r>
      <w:r>
        <w:rPr>
          <w:rFonts w:cs="Arial" w:ascii="Arial" w:hAnsi="Arial"/>
          <w:sz w:val="20"/>
          <w:szCs w:val="20"/>
        </w:rPr>
        <w:t xml:space="preserve">, c'est-à-dire des productions matérielles, et de </w:t>
      </w:r>
      <w:r>
        <w:rPr>
          <w:rFonts w:cs="Arial" w:ascii="Arial" w:hAnsi="Arial"/>
          <w:sz w:val="20"/>
          <w:szCs w:val="20"/>
        </w:rPr>
        <w:t>services</w:t>
      </w:r>
      <w:r>
        <w:rPr>
          <w:rFonts w:cs="Arial" w:ascii="Arial" w:hAnsi="Arial"/>
          <w:sz w:val="20"/>
          <w:szCs w:val="20"/>
        </w:rPr>
        <w:t xml:space="preserve"> , c’est-à-dire des productions immatérielles, peut être réalisée par trois type d’organismes : </w:t>
      </w:r>
      <w:r>
        <w:rPr>
          <w:rFonts w:cs="Arial" w:ascii="Arial" w:hAnsi="Arial"/>
          <w:sz w:val="20"/>
          <w:szCs w:val="20"/>
        </w:rPr>
        <w:t xml:space="preserve">l’Etat </w:t>
      </w:r>
      <w:r>
        <w:rPr>
          <w:rFonts w:cs="Arial" w:ascii="Arial" w:hAnsi="Arial"/>
          <w:sz w:val="20"/>
          <w:szCs w:val="20"/>
        </w:rPr>
        <w:t xml:space="preserve"> (on dit les « administrations publiques ») et </w:t>
      </w:r>
      <w:r>
        <w:rPr>
          <w:rFonts w:cs="Arial" w:ascii="Arial" w:hAnsi="Arial"/>
          <w:sz w:val="20"/>
          <w:szCs w:val="20"/>
        </w:rPr>
        <w:t xml:space="preserve">les association </w:t>
      </w:r>
      <w:r>
        <w:rPr>
          <w:rFonts w:cs="Arial" w:ascii="Arial" w:hAnsi="Arial"/>
          <w:sz w:val="20"/>
          <w:szCs w:val="20"/>
        </w:rPr>
        <w:t>(ce sont des « administrations privées » et donc, pas l’Etat) produisent de</w:t>
      </w:r>
      <w:r>
        <w:rPr>
          <w:rFonts w:cs="Arial" w:ascii="Arial" w:hAnsi="Arial"/>
          <w:sz w:val="20"/>
          <w:szCs w:val="20"/>
        </w:rPr>
        <w:t>s services non marchands</w:t>
      </w:r>
      <w:r>
        <w:rPr>
          <w:rFonts w:cs="Arial" w:ascii="Arial" w:hAnsi="Arial"/>
          <w:sz w:val="20"/>
          <w:szCs w:val="20"/>
        </w:rPr>
        <w:t xml:space="preserve">, c'est-à-dire des services qui ne sont pas vendus sur un marché contre un prix de vente mais financés essentiellement par </w:t>
      </w:r>
      <w:r>
        <w:rPr>
          <w:rFonts w:cs="Arial" w:ascii="Arial" w:hAnsi="Arial"/>
          <w:sz w:val="20"/>
          <w:szCs w:val="20"/>
        </w:rPr>
        <w:t xml:space="preserve">l’impôt </w:t>
      </w:r>
      <w:r>
        <w:rPr>
          <w:rFonts w:cs="Arial" w:ascii="Arial" w:hAnsi="Arial"/>
          <w:sz w:val="20"/>
          <w:szCs w:val="20"/>
        </w:rPr>
        <w:t xml:space="preserve">(le financement de la production des associations repose sur des dons privés pour l’essentiel). </w:t>
      </w:r>
      <w:r>
        <w:rPr>
          <w:rFonts w:cs="Arial" w:ascii="Arial" w:hAnsi="Arial"/>
          <w:sz w:val="20"/>
          <w:szCs w:val="20"/>
        </w:rPr>
        <w:t xml:space="preserve">Les entreprises </w:t>
      </w:r>
      <w:r>
        <w:rPr>
          <w:rFonts w:cs="Arial" w:ascii="Arial" w:hAnsi="Arial"/>
          <w:sz w:val="20"/>
          <w:szCs w:val="20"/>
        </w:rPr>
        <w:t xml:space="preserve">produisent des </w:t>
      </w:r>
      <w:r>
        <w:rPr>
          <w:rFonts w:cs="Arial" w:ascii="Arial" w:hAnsi="Arial"/>
          <w:sz w:val="20"/>
          <w:szCs w:val="20"/>
        </w:rPr>
        <w:t xml:space="preserve">biens et des services marchands </w:t>
      </w:r>
      <w:r>
        <w:rPr>
          <w:rFonts w:cs="Arial" w:ascii="Arial" w:hAnsi="Arial"/>
          <w:sz w:val="20"/>
          <w:szCs w:val="20"/>
        </w:rPr>
        <w:t xml:space="preserve">c'est-à-dire échangés sur un marché contre un prix de vente. La plupart des entreprises ont pour objectif de réaliser un profit (profit = CA-CT) . </w:t>
      </w:r>
      <w:r>
        <w:rPr>
          <w:rFonts w:cs="Arial" w:ascii="Arial" w:hAnsi="Arial"/>
          <w:sz w:val="20"/>
          <w:szCs w:val="20"/>
        </w:rPr>
        <w:t xml:space="preserve">Les ménages </w:t>
      </w:r>
      <w:r>
        <w:rPr>
          <w:rFonts w:cs="Arial" w:ascii="Arial" w:hAnsi="Arial"/>
          <w:sz w:val="20"/>
          <w:szCs w:val="20"/>
        </w:rPr>
        <w:t>réalisent une production que les économistes ne comptabilisent pas : la production domestique.</w:t>
      </w:r>
    </w:p>
    <w:p>
      <w:pPr>
        <w:pStyle w:val="Standard"/>
        <w:ind w:left="720"/>
        <w:rPr>
          <w:rFonts w:ascii="Arial" w:hAnsi="Arial" w:cs="Arial"/>
          <w:sz w:val="20"/>
          <w:szCs w:val="20"/>
        </w:rPr>
      </w:pPr>
      <w:r>
        <w:rPr>
          <w:rFonts w:cs="Arial" w:ascii="Arial" w:hAnsi="Arial"/>
          <w:sz w:val="20"/>
          <w:szCs w:val="20"/>
        </w:rPr>
        <w:t xml:space="preserve">Les économistes n’enregistrent que la production </w:t>
      </w:r>
      <w:r>
        <w:rPr>
          <w:rFonts w:cs="Arial" w:ascii="Arial" w:hAnsi="Arial"/>
          <w:sz w:val="20"/>
          <w:szCs w:val="20"/>
        </w:rPr>
        <w:t xml:space="preserve">marchande </w:t>
      </w:r>
      <w:r>
        <w:rPr>
          <w:rFonts w:cs="Arial" w:ascii="Arial" w:hAnsi="Arial"/>
          <w:sz w:val="20"/>
          <w:szCs w:val="20"/>
        </w:rPr>
        <w:t xml:space="preserve">et la production </w:t>
      </w:r>
      <w:r>
        <w:rPr>
          <w:rFonts w:cs="Arial" w:ascii="Arial" w:hAnsi="Arial"/>
          <w:sz w:val="20"/>
          <w:szCs w:val="20"/>
        </w:rPr>
        <w:t>non marchande.</w:t>
      </w:r>
      <w:r>
        <w:rPr>
          <w:rFonts w:cs="Arial" w:ascii="Arial" w:hAnsi="Arial"/>
          <w:sz w:val="20"/>
          <w:szCs w:val="20"/>
        </w:rPr>
        <w:t xml:space="preserve"> Ils corrigent leurs chiffres pour tenir compte de la production liée aux activités souterraines (travail au noir, activités illicites) mais ils n’enregistrent pas comme création de richesse la production </w:t>
      </w:r>
      <w:r>
        <w:rPr>
          <w:rFonts w:cs="Arial" w:ascii="Arial" w:hAnsi="Arial"/>
          <w:sz w:val="20"/>
          <w:szCs w:val="20"/>
        </w:rPr>
        <w:t>domestique</w:t>
      </w:r>
      <w:r>
        <w:rPr>
          <w:rFonts w:cs="Arial" w:ascii="Arial" w:hAnsi="Arial"/>
          <w:sz w:val="20"/>
          <w:szCs w:val="20"/>
        </w:rPr>
        <w:t xml:space="preserve">. L’essentiel de la création de richesse provient de la production </w:t>
      </w:r>
      <w:r>
        <w:rPr>
          <w:rFonts w:cs="Arial" w:ascii="Arial" w:hAnsi="Arial"/>
          <w:sz w:val="20"/>
          <w:szCs w:val="20"/>
        </w:rPr>
        <w:t xml:space="preserve">marchande </w:t>
      </w:r>
      <w:r>
        <w:rPr>
          <w:rFonts w:cs="Arial" w:ascii="Arial" w:hAnsi="Arial"/>
          <w:sz w:val="20"/>
          <w:szCs w:val="20"/>
        </w:rPr>
        <w:t xml:space="preserve">réalisée par les entreprises. Ces entreprises sont très diverses : par la taille, le statut juridique, … Elles ont pour but en général de faire un profit maximum même si une partie d’entre elles, mutuelles et coopératives, ont d’autres objectifs relevant de </w:t>
      </w:r>
      <w:r>
        <w:rPr>
          <w:rFonts w:cs="Arial" w:ascii="Arial" w:hAnsi="Arial"/>
          <w:sz w:val="20"/>
          <w:szCs w:val="20"/>
        </w:rPr>
        <w:t xml:space="preserve">l’économie sociale et solidaire . </w:t>
      </w:r>
      <w:r>
        <w:rPr>
          <w:rFonts w:cs="Arial" w:ascii="Arial" w:hAnsi="Arial"/>
          <w:sz w:val="20"/>
          <w:szCs w:val="20"/>
        </w:rPr>
        <w:t xml:space="preserve">99% des entreprises sont de </w:t>
      </w:r>
      <w:r>
        <w:rPr>
          <w:rFonts w:cs="Arial" w:ascii="Arial" w:hAnsi="Arial"/>
          <w:sz w:val="20"/>
          <w:szCs w:val="20"/>
        </w:rPr>
        <w:t xml:space="preserve">petites </w:t>
      </w:r>
      <w:r>
        <w:rPr>
          <w:rFonts w:cs="Arial" w:ascii="Arial" w:hAnsi="Arial"/>
          <w:sz w:val="20"/>
          <w:szCs w:val="20"/>
        </w:rPr>
        <w:t xml:space="preserve">structures sous formes d’entreprises individuelles. Les </w:t>
      </w:r>
      <w:r>
        <w:rPr>
          <w:rFonts w:cs="Arial" w:ascii="Arial" w:hAnsi="Arial"/>
          <w:sz w:val="20"/>
          <w:szCs w:val="20"/>
        </w:rPr>
        <w:t>grandes</w:t>
      </w:r>
      <w:r>
        <w:rPr>
          <w:rFonts w:cs="Arial" w:ascii="Arial" w:hAnsi="Arial"/>
          <w:sz w:val="20"/>
          <w:szCs w:val="20"/>
        </w:rPr>
        <w:t xml:space="preserve">.entreprises ne représentent que moins de 1% du total mais ont un poids décisif sur l’emploi et sur la production du pays tout entier. Ces très </w:t>
      </w:r>
      <w:r>
        <w:rPr>
          <w:rFonts w:cs="Arial" w:ascii="Arial" w:hAnsi="Arial"/>
          <w:sz w:val="20"/>
          <w:szCs w:val="20"/>
        </w:rPr>
        <w:t xml:space="preserve">grandes </w:t>
      </w:r>
      <w:r>
        <w:rPr>
          <w:rFonts w:cs="Arial" w:ascii="Arial" w:hAnsi="Arial"/>
          <w:sz w:val="20"/>
          <w:szCs w:val="20"/>
        </w:rPr>
        <w:t>entreprises sont des Sociétés Anonymes dont le capital est coté en bourse, sous formes d’actions qui s’échangent selon la loi de l’offre et de la demande. Elles se développent par lien</w:t>
      </w:r>
      <w:r>
        <w:rPr>
          <w:rFonts w:cs="Arial" w:ascii="Arial" w:hAnsi="Arial"/>
          <w:sz w:val="20"/>
          <w:szCs w:val="20"/>
        </w:rPr>
        <w:t>s</w:t>
      </w:r>
      <w:r>
        <w:rPr>
          <w:rFonts w:cs="Arial" w:ascii="Arial" w:hAnsi="Arial"/>
          <w:sz w:val="20"/>
          <w:szCs w:val="20"/>
        </w:rPr>
        <w:t xml:space="preserve"> financiers et forment des groupes à vocation internationale, les multinationales.</w:t>
      </w:r>
    </w:p>
    <w:p>
      <w:pPr>
        <w:pStyle w:val="NoSpacing"/>
        <w:rPr/>
      </w:pPr>
      <w:r>
        <w:rPr/>
      </w:r>
    </w:p>
    <w:p>
      <w:pPr>
        <w:pStyle w:val="NoSpacing"/>
        <w:ind w:left="720"/>
        <w:rPr/>
      </w:pPr>
      <w:r>
        <w:rPr/>
      </w:r>
    </w:p>
    <w:sectPr>
      <w:type w:val="nextPage"/>
      <w:pgSz w:w="11906" w:h="16838"/>
      <w:pgMar w:left="720" w:right="720" w:gutter="0" w:header="0" w:top="720" w:footer="0" w:bottom="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Liberation Sans">
    <w:altName w:val="Arial"/>
    <w:charset w:val="00"/>
    <w:family w:val="roman"/>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b w:val="false"/>
        <w:bCs w:val="false"/>
        <w:rFonts w:eastAsia="Times New Roman"/>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
    <w:lvl w:ilvl="0">
      <w:start w:val="1"/>
      <w:numFmt w:val="decimal"/>
      <w:lvlText w:val="%1."/>
      <w:lvlJc w:val="left"/>
      <w:pPr>
        <w:tabs>
          <w:tab w:val="num" w:pos="0"/>
        </w:tabs>
        <w:ind w:left="720" w:hanging="360"/>
      </w:pPr>
      <w:rPr>
        <w:b w:val="false"/>
        <w:bCs w:val="false"/>
        <w:rFonts w:eastAsia="Times New Roman"/>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2"/>
    <w:lvlOverride w:ilvl="0">
      <w:startOverride w:val="1"/>
    </w:lvlOverride>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bering>
</file>

<file path=word/settings.xml><?xml version="1.0" encoding="utf-8"?>
<w:settings xmlns:w="http://schemas.openxmlformats.org/wordprocessingml/2006/main">
  <w:zoom w:percent="110"/>
  <w:defaultTabStop w:val="708"/>
  <w:autoHyphenation w:val="true"/>
  <w:hyphenationZone w:val="425"/>
  <w:compat>
    <w:compatSetting w:name="compatibilityMode" w:uri="http://schemas.microsoft.com/office/word" w:val="12"/>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textAlignment w:val="baseline"/>
    </w:pPr>
    <w:rPr>
      <w:rFonts w:ascii="Liberation Serif" w:hAnsi="Liberation Serif" w:eastAsia="NSimSun" w:cs="Lucida Sans"/>
      <w:color w:val="auto"/>
      <w:kern w:val="2"/>
      <w:sz w:val="24"/>
      <w:szCs w:val="24"/>
      <w:lang w:val="fr-FR" w:eastAsia="zh-CN" w:bidi="hi-IN"/>
    </w:rPr>
  </w:style>
  <w:style w:type="character" w:styleId="DefaultParagraphFont" w:default="1">
    <w:name w:val="Default Paragraph Font"/>
    <w:uiPriority w:val="1"/>
    <w:semiHidden/>
    <w:unhideWhenUsed/>
    <w:qFormat/>
    <w:rPr/>
  </w:style>
  <w:style w:type="character" w:styleId="WW8Num1z0" w:customStyle="1">
    <w:name w:val="WW8Num1z0"/>
    <w:qFormat/>
    <w:rPr>
      <w:rFonts w:eastAsia="Times New Roman"/>
      <w:b w:val="false"/>
      <w:bCs w:val="false"/>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b/>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Calibri" w:hAnsi="Calibri" w:eastAsia="Calibri" w:cs="Calibri"/>
    </w:rPr>
  </w:style>
  <w:style w:type="character" w:styleId="WW8Num7z1" w:customStyle="1">
    <w:name w:val="WW8Num7z1"/>
    <w:qFormat/>
    <w:rPr>
      <w:rFonts w:ascii="Courier New" w:hAnsi="Courier New" w:eastAsia="Courier New" w:cs="Courier New"/>
    </w:rPr>
  </w:style>
  <w:style w:type="character" w:styleId="WW8Num7z2" w:customStyle="1">
    <w:name w:val="WW8Num7z2"/>
    <w:qFormat/>
    <w:rPr>
      <w:rFonts w:ascii="Wingdings" w:hAnsi="Wingdings" w:eastAsia="Wingdings" w:cs="Wingdings"/>
    </w:rPr>
  </w:style>
  <w:style w:type="character" w:styleId="WW8Num7z3" w:customStyle="1">
    <w:name w:val="WW8Num7z3"/>
    <w:qFormat/>
    <w:rPr>
      <w:rFonts w:ascii="Symbol" w:hAnsi="Symbol" w:eastAsia="Symbol" w:cs="Symbol"/>
    </w:rPr>
  </w:style>
  <w:style w:type="character" w:styleId="WW8Num8z0" w:customStyle="1">
    <w:name w:val="WW8Num8z0"/>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b w:val="false"/>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rFonts w:eastAsia="Times New Roman"/>
      <w:b w:val="false"/>
      <w:bCs w:val="false"/>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Times New Roman"/>
    </w:rPr>
  </w:style>
  <w:style w:type="character" w:styleId="WW8Num13z1" w:customStyle="1">
    <w:name w:val="WW8Num13z1"/>
    <w:qFormat/>
    <w:rPr>
      <w:rFonts w:ascii="Courier New" w:hAnsi="Courier New" w:eastAsia="Courier New" w:cs="Courier New"/>
    </w:rPr>
  </w:style>
  <w:style w:type="character" w:styleId="WW8Num13z2" w:customStyle="1">
    <w:name w:val="WW8Num13z2"/>
    <w:qFormat/>
    <w:rPr>
      <w:rFonts w:ascii="Wingdings" w:hAnsi="Wingdings" w:eastAsia="Wingdings" w:cs="Wingdings"/>
    </w:rPr>
  </w:style>
  <w:style w:type="character" w:styleId="WW8Num13z3" w:customStyle="1">
    <w:name w:val="WW8Num13z3"/>
    <w:qFormat/>
    <w:rPr>
      <w:rFonts w:ascii="Symbol" w:hAnsi="Symbol" w:eastAsia="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b/>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Policepardfaut1" w:customStyle="1">
    <w:name w:val="Police par défaut1"/>
    <w:qFormat/>
    <w:rPr/>
  </w:style>
  <w:style w:type="character" w:styleId="Internetlink" w:customStyle="1">
    <w:name w:val="Internet link"/>
    <w:qFormat/>
    <w:rPr>
      <w:color w:val="0563C1"/>
      <w:u w:val="single"/>
    </w:rPr>
  </w:style>
  <w:style w:type="character" w:styleId="UnresolvedMention">
    <w:name w:val="Unresolved Mention"/>
    <w:qFormat/>
    <w:rPr>
      <w:color w:val="605E5C"/>
      <w:shd w:fill="E1DFDD" w:val="clear"/>
    </w:rPr>
  </w:style>
  <w:style w:type="character" w:styleId="En-tteCar" w:customStyle="1">
    <w:name w:val="En-tête Car"/>
    <w:qFormat/>
    <w:rPr>
      <w:sz w:val="22"/>
      <w:szCs w:val="22"/>
    </w:rPr>
  </w:style>
  <w:style w:type="character" w:styleId="PieddepageCar" w:customStyle="1">
    <w:name w:val="Pied de page Car"/>
    <w:qFormat/>
    <w:rPr>
      <w:sz w:val="22"/>
      <w:szCs w:val="22"/>
    </w:rPr>
  </w:style>
  <w:style w:type="character" w:styleId="Hyperlink">
    <w:name w:val="Hyperlink"/>
    <w:rPr>
      <w:color w:val="000080"/>
      <w:u w:val="single"/>
    </w:rPr>
  </w:style>
  <w:style w:type="paragraph" w:styleId="Titre" w:customStyle="1">
    <w:name w:val="Titre"/>
    <w:basedOn w:val="Standard"/>
    <w:next w:val="Textbody"/>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Standard"/>
    <w:qFormat/>
    <w:pPr>
      <w:suppressLineNumbers/>
    </w:pPr>
    <w:rPr>
      <w:rFonts w:cs="Lucida Sans"/>
    </w:rPr>
  </w:style>
  <w:style w:type="paragraph" w:styleId="Standard" w:customStyle="1">
    <w:name w:val="Standard"/>
    <w:qFormat/>
    <w:pPr>
      <w:widowControl/>
      <w:suppressAutoHyphens w:val="true"/>
      <w:bidi w:val="0"/>
      <w:spacing w:lineRule="auto" w:line="276" w:before="0" w:after="200"/>
      <w:jc w:val="left"/>
      <w:textAlignment w:val="baseline"/>
    </w:pPr>
    <w:rPr>
      <w:rFonts w:ascii="Calibri" w:hAnsi="Calibri" w:eastAsia="Calibri" w:cs="Calibri"/>
      <w:color w:val="auto"/>
      <w:kern w:val="2"/>
      <w:sz w:val="22"/>
      <w:szCs w:val="22"/>
      <w:lang w:bidi="ar-SA" w:val="fr-FR" w:eastAsia="zh-CN"/>
    </w:rPr>
  </w:style>
  <w:style w:type="paragraph" w:styleId="Textbody" w:customStyle="1">
    <w:name w:val="Text body"/>
    <w:basedOn w:val="Standard"/>
    <w:qFormat/>
    <w:pPr>
      <w:spacing w:before="0" w:after="140"/>
    </w:pPr>
    <w:rPr/>
  </w:style>
  <w:style w:type="paragraph" w:styleId="Caption1">
    <w:name w:val="caption1"/>
    <w:basedOn w:val="Standard"/>
    <w:qFormat/>
    <w:pPr>
      <w:suppressLineNumbers/>
      <w:spacing w:before="120" w:after="120"/>
    </w:pPr>
    <w:rPr>
      <w:rFonts w:cs="Lucida Sans"/>
      <w:i/>
      <w:iCs/>
      <w:sz w:val="24"/>
      <w:szCs w:val="24"/>
    </w:rPr>
  </w:style>
  <w:style w:type="paragraph" w:styleId="Titre1" w:customStyle="1">
    <w:name w:val="Titre1"/>
    <w:basedOn w:val="Standard"/>
    <w:next w:val="Textbody"/>
    <w:qFormat/>
    <w:pPr>
      <w:keepNext w:val="true"/>
      <w:spacing w:before="240" w:after="120"/>
    </w:pPr>
    <w:rPr>
      <w:rFonts w:ascii="Liberation Sans" w:hAnsi="Liberation Sans" w:eastAsia="Microsoft YaHei" w:cs="Lucida Sans"/>
      <w:sz w:val="28"/>
      <w:szCs w:val="28"/>
    </w:rPr>
  </w:style>
  <w:style w:type="paragraph" w:styleId="En-tteetpieddepage" w:customStyle="1">
    <w:name w:val="En-tête et pied de page"/>
    <w:basedOn w:val="Standard"/>
    <w:qFormat/>
    <w:pPr>
      <w:suppressLineNumbers/>
      <w:tabs>
        <w:tab w:val="clear" w:pos="708"/>
        <w:tab w:val="center" w:pos="4819" w:leader="none"/>
        <w:tab w:val="right" w:pos="9638" w:leader="none"/>
      </w:tabs>
    </w:pPr>
    <w:rPr/>
  </w:style>
  <w:style w:type="paragraph" w:styleId="Header">
    <w:name w:val="Header"/>
    <w:basedOn w:val="Standard"/>
    <w:pPr>
      <w:tabs>
        <w:tab w:val="clear" w:pos="708"/>
        <w:tab w:val="center" w:pos="4536" w:leader="none"/>
        <w:tab w:val="right" w:pos="9072" w:leader="none"/>
      </w:tabs>
    </w:pPr>
    <w:rPr/>
  </w:style>
  <w:style w:type="paragraph" w:styleId="Footer">
    <w:name w:val="Footer"/>
    <w:basedOn w:val="Standard"/>
    <w:pPr>
      <w:tabs>
        <w:tab w:val="clear" w:pos="708"/>
        <w:tab w:val="center" w:pos="4536" w:leader="none"/>
        <w:tab w:val="right" w:pos="9072" w:leader="none"/>
      </w:tabs>
    </w:pPr>
    <w:rPr/>
  </w:style>
  <w:style w:type="paragraph" w:styleId="NoSpacing">
    <w:name w:val="No Spacing"/>
    <w:qFormat/>
    <w:pPr>
      <w:widowControl/>
      <w:suppressAutoHyphens w:val="true"/>
      <w:bidi w:val="0"/>
      <w:spacing w:before="0" w:after="0"/>
      <w:jc w:val="both"/>
      <w:textAlignment w:val="baseline"/>
    </w:pPr>
    <w:rPr>
      <w:rFonts w:ascii="Arial" w:hAnsi="Arial" w:eastAsia="Calibri" w:cs="Arial"/>
      <w:b/>
      <w:bCs/>
      <w:color w:val="000000"/>
      <w:kern w:val="2"/>
      <w:sz w:val="24"/>
      <w:szCs w:val="24"/>
      <w:lang w:bidi="ar-SA" w:val="fr-FR" w:eastAsia="zh-CN"/>
    </w:rPr>
  </w:style>
  <w:style w:type="paragraph" w:styleId="Contenudetableau" w:customStyle="1">
    <w:name w:val="Contenu de tableau"/>
    <w:basedOn w:val="Standard"/>
    <w:qFormat/>
    <w:pPr>
      <w:widowControl w:val="false"/>
      <w:suppressLineNumbers/>
    </w:pPr>
    <w:rPr/>
  </w:style>
  <w:style w:type="paragraph" w:styleId="Titredetableau" w:customStyle="1">
    <w:name w:val="Titre de tableau"/>
    <w:basedOn w:val="Contenudetableau"/>
    <w:qFormat/>
    <w:pPr>
      <w:jc w:val="center"/>
    </w:pPr>
    <w:rPr>
      <w:b/>
      <w:bCs/>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watch?v=aTJgWObdHMQ"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1239</TotalTime>
  <Application>LibreOffice/7.6.7.2$Windows_X86_64 LibreOffice_project/dd47e4b30cb7dab30588d6c79c651f218165e3c5</Application>
  <AppVersion>15.0000</AppVersion>
  <Pages>4</Pages>
  <Words>2626</Words>
  <Characters>14005</Characters>
  <CharactersWithSpaces>16668</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2024-10-29T00:20:00Z</dcterms:created>
  <dc:creator>Valued Acer Customer</dc:creator>
  <dc:description/>
  <dc:language>fr-FR</dc:language>
  <cp:lastModifiedBy/>
  <cp:lastPrinted>2022-09-12T12:27:00Z</cp:lastPrinted>
  <dcterms:modified xsi:type="dcterms:W3CDTF">2024-10-30T10:54:31Z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